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5DC15B" w14:textId="77777777" w:rsidR="001C4EDA" w:rsidRDefault="001C4EDA" w:rsidP="0022219C">
      <w:pPr>
        <w:rPr>
          <w:rFonts w:eastAsia="Times New Roman"/>
          <w:b/>
        </w:rPr>
      </w:pPr>
    </w:p>
    <w:p w14:paraId="7EF2BFBC" w14:textId="1462EFA2" w:rsidR="0022219C" w:rsidRPr="004C6FD9" w:rsidRDefault="0022219C" w:rsidP="0022219C">
      <w:pPr>
        <w:rPr>
          <w:rFonts w:eastAsia="Times New Roman"/>
          <w:b/>
        </w:rPr>
      </w:pPr>
      <w:r w:rsidRPr="004C6FD9">
        <w:rPr>
          <w:rFonts w:eastAsia="Times New Roman"/>
          <w:b/>
        </w:rPr>
        <w:t>UNITED STATES DISTRICT COURT</w:t>
      </w:r>
    </w:p>
    <w:p w14:paraId="41B29904" w14:textId="77777777" w:rsidR="0022219C" w:rsidRPr="004C6FD9" w:rsidRDefault="0022219C" w:rsidP="0022219C">
      <w:pPr>
        <w:rPr>
          <w:rFonts w:eastAsia="Times New Roman"/>
          <w:b/>
        </w:rPr>
      </w:pPr>
      <w:r w:rsidRPr="004C6FD9">
        <w:rPr>
          <w:rFonts w:eastAsia="Times New Roman"/>
          <w:b/>
        </w:rPr>
        <w:t>DISTRICT OF MOOT</w:t>
      </w:r>
      <w:r w:rsidRPr="004C6FD9">
        <w:rPr>
          <w:rFonts w:eastAsia="Times New Roman"/>
          <w:b/>
        </w:rPr>
        <w:tab/>
      </w:r>
    </w:p>
    <w:p w14:paraId="7BA502E5" w14:textId="77777777" w:rsidR="0022219C" w:rsidRPr="004C6FD9" w:rsidRDefault="0022219C" w:rsidP="0022219C">
      <w:pPr>
        <w:rPr>
          <w:rFonts w:eastAsia="Times New Roman"/>
        </w:rPr>
      </w:pPr>
      <w:r w:rsidRPr="004C6FD9">
        <w:rPr>
          <w:rFonts w:eastAsia="Times New Roman"/>
          <w:b/>
        </w:rPr>
        <w:t>___________________________________________</w:t>
      </w:r>
      <w:r>
        <w:rPr>
          <w:rFonts w:eastAsia="Times New Roman"/>
          <w:b/>
        </w:rPr>
        <w:t>_____________________________</w:t>
      </w:r>
      <w:r w:rsidRPr="004C6FD9">
        <w:rPr>
          <w:rFonts w:eastAsia="Times New Roman"/>
        </w:rPr>
        <w:tab/>
      </w:r>
      <w:r w:rsidRPr="004C6FD9">
        <w:rPr>
          <w:rFonts w:eastAsia="Times New Roman"/>
        </w:rPr>
        <w:tab/>
      </w:r>
      <w:r w:rsidRPr="004C6FD9">
        <w:rPr>
          <w:rFonts w:eastAsia="Times New Roman"/>
        </w:rPr>
        <w:tab/>
      </w:r>
      <w:r w:rsidRPr="004C6FD9">
        <w:rPr>
          <w:rFonts w:eastAsia="Times New Roman"/>
        </w:rPr>
        <w:tab/>
      </w:r>
      <w:r w:rsidRPr="004C6FD9">
        <w:rPr>
          <w:rFonts w:eastAsia="Times New Roman"/>
        </w:rPr>
        <w:tab/>
      </w:r>
      <w:r w:rsidRPr="004C6FD9">
        <w:rPr>
          <w:rFonts w:eastAsia="Times New Roman"/>
        </w:rPr>
        <w:tab/>
      </w:r>
      <w:r w:rsidRPr="004C6FD9">
        <w:rPr>
          <w:rFonts w:eastAsia="Times New Roman"/>
        </w:rPr>
        <w:tab/>
      </w:r>
      <w:r w:rsidRPr="004C6FD9">
        <w:t>Court File No. 27-CV-12-1234</w:t>
      </w:r>
    </w:p>
    <w:p w14:paraId="046D003C" w14:textId="77777777" w:rsidR="0022219C" w:rsidRPr="004C6FD9" w:rsidRDefault="0022219C" w:rsidP="0022219C">
      <w:pPr>
        <w:rPr>
          <w:rFonts w:eastAsia="Times New Roman"/>
        </w:rPr>
      </w:pPr>
      <w:r w:rsidRPr="004C6FD9">
        <w:rPr>
          <w:rFonts w:eastAsia="Times New Roman"/>
        </w:rPr>
        <w:t xml:space="preserve">OGS TV, Inc. </w:t>
      </w:r>
    </w:p>
    <w:p w14:paraId="64AEA6C8" w14:textId="77777777" w:rsidR="0022219C" w:rsidRPr="004C6FD9" w:rsidRDefault="0022219C" w:rsidP="0022219C">
      <w:pPr>
        <w:rPr>
          <w:rFonts w:eastAsia="Times New Roman"/>
        </w:rPr>
      </w:pPr>
    </w:p>
    <w:p w14:paraId="1B412E36" w14:textId="7979FCEF" w:rsidR="0022219C" w:rsidRPr="004C6FD9" w:rsidRDefault="0022219C" w:rsidP="0022219C">
      <w:pPr>
        <w:ind w:left="5040" w:hanging="2160"/>
        <w:rPr>
          <w:rFonts w:eastAsia="Times New Roman"/>
        </w:rPr>
      </w:pPr>
      <w:r w:rsidRPr="004C6FD9">
        <w:rPr>
          <w:rFonts w:eastAsia="Times New Roman"/>
        </w:rPr>
        <w:t xml:space="preserve">Plaintiff, </w:t>
      </w:r>
      <w:r w:rsidRPr="004C6FD9">
        <w:rPr>
          <w:rFonts w:eastAsia="Times New Roman"/>
        </w:rPr>
        <w:tab/>
      </w:r>
      <w:r w:rsidRPr="004C6FD9">
        <w:rPr>
          <w:rFonts w:eastAsia="Times New Roman"/>
          <w:b/>
        </w:rPr>
        <w:t>MEMORANDUM IN SUPPORT OF DEFENDANTS’ MOTION TO DISMISS</w:t>
      </w:r>
    </w:p>
    <w:p w14:paraId="2E968225" w14:textId="77777777" w:rsidR="0022219C" w:rsidRPr="004C6FD9" w:rsidRDefault="0022219C" w:rsidP="0022219C">
      <w:pPr>
        <w:tabs>
          <w:tab w:val="left" w:pos="5475"/>
        </w:tabs>
        <w:rPr>
          <w:rFonts w:eastAsia="Times New Roman"/>
        </w:rPr>
      </w:pPr>
      <w:r w:rsidRPr="004C6FD9">
        <w:rPr>
          <w:rFonts w:eastAsia="Times New Roman"/>
        </w:rPr>
        <w:tab/>
      </w:r>
    </w:p>
    <w:p w14:paraId="5F0B8594" w14:textId="77777777" w:rsidR="0022219C" w:rsidRPr="004C6FD9" w:rsidRDefault="0022219C" w:rsidP="0022219C">
      <w:pPr>
        <w:rPr>
          <w:rFonts w:eastAsia="Times New Roman"/>
        </w:rPr>
      </w:pPr>
      <w:r w:rsidRPr="004C6FD9">
        <w:rPr>
          <w:rFonts w:eastAsia="Times New Roman"/>
        </w:rPr>
        <w:t xml:space="preserve">v. </w:t>
      </w:r>
    </w:p>
    <w:p w14:paraId="58106B30" w14:textId="77777777" w:rsidR="0022219C" w:rsidRPr="004C6FD9" w:rsidRDefault="0022219C" w:rsidP="0022219C">
      <w:pPr>
        <w:ind w:left="5760"/>
        <w:jc w:val="both"/>
        <w:rPr>
          <w:rFonts w:eastAsia="Times New Roman"/>
        </w:rPr>
      </w:pPr>
    </w:p>
    <w:p w14:paraId="08ECE3E9" w14:textId="77777777" w:rsidR="0022219C" w:rsidRPr="004C6FD9" w:rsidRDefault="0022219C" w:rsidP="0022219C">
      <w:pPr>
        <w:tabs>
          <w:tab w:val="left" w:pos="7245"/>
        </w:tabs>
        <w:rPr>
          <w:rFonts w:eastAsia="Times New Roman"/>
        </w:rPr>
      </w:pPr>
      <w:r w:rsidRPr="004C6FD9">
        <w:rPr>
          <w:rFonts w:eastAsia="Times New Roman"/>
        </w:rPr>
        <w:t xml:space="preserve">Elizabeth Lime, and TinyTV, Inc. </w:t>
      </w:r>
    </w:p>
    <w:p w14:paraId="02F02276" w14:textId="77777777" w:rsidR="0022219C" w:rsidRPr="004C6FD9" w:rsidRDefault="0022219C" w:rsidP="0022219C">
      <w:pPr>
        <w:tabs>
          <w:tab w:val="left" w:pos="7245"/>
        </w:tabs>
        <w:rPr>
          <w:rFonts w:eastAsia="Times New Roman"/>
        </w:rPr>
      </w:pPr>
      <w:r w:rsidRPr="004C6FD9">
        <w:rPr>
          <w:rFonts w:eastAsia="Times New Roman"/>
        </w:rPr>
        <w:tab/>
      </w:r>
    </w:p>
    <w:p w14:paraId="5166C0EA" w14:textId="77777777" w:rsidR="0022219C" w:rsidRPr="004C6FD9" w:rsidRDefault="0022219C" w:rsidP="0022219C">
      <w:pPr>
        <w:ind w:left="1440"/>
        <w:rPr>
          <w:rFonts w:eastAsia="Times New Roman"/>
        </w:rPr>
      </w:pPr>
      <w:r w:rsidRPr="004C6FD9">
        <w:rPr>
          <w:rFonts w:eastAsia="Times New Roman"/>
        </w:rPr>
        <w:t xml:space="preserve">           </w:t>
      </w:r>
      <w:r w:rsidRPr="004C6FD9">
        <w:rPr>
          <w:rFonts w:eastAsia="Times New Roman"/>
        </w:rPr>
        <w:tab/>
      </w:r>
      <w:r w:rsidRPr="004C6FD9">
        <w:rPr>
          <w:rFonts w:eastAsia="Times New Roman"/>
        </w:rPr>
        <w:tab/>
        <w:t>Defendants.</w:t>
      </w:r>
    </w:p>
    <w:p w14:paraId="6E03A5C0" w14:textId="77777777" w:rsidR="0022219C" w:rsidRPr="004C6FD9" w:rsidRDefault="0022219C" w:rsidP="0022219C">
      <w:pPr>
        <w:rPr>
          <w:rFonts w:eastAsia="Times New Roman"/>
          <w:b/>
        </w:rPr>
      </w:pPr>
      <w:r w:rsidRPr="004C6FD9">
        <w:rPr>
          <w:rFonts w:eastAsia="Times New Roman"/>
          <w:b/>
        </w:rPr>
        <w:t>______________________________________________</w:t>
      </w:r>
      <w:r>
        <w:rPr>
          <w:rFonts w:eastAsia="Times New Roman"/>
          <w:b/>
        </w:rPr>
        <w:t>__________________________</w:t>
      </w:r>
    </w:p>
    <w:p w14:paraId="1CFAB84E" w14:textId="77777777" w:rsidR="0022219C" w:rsidRPr="004C6FD9" w:rsidRDefault="0022219C" w:rsidP="0022219C">
      <w:pPr>
        <w:rPr>
          <w:rFonts w:eastAsia="Times New Roman"/>
        </w:rPr>
      </w:pPr>
    </w:p>
    <w:p w14:paraId="597D3E0F" w14:textId="77777777" w:rsidR="0022219C" w:rsidRPr="004C6FD9" w:rsidRDefault="0022219C" w:rsidP="0022219C">
      <w:pPr>
        <w:jc w:val="center"/>
        <w:rPr>
          <w:rFonts w:eastAsia="Times New Roman"/>
          <w:b/>
          <w:u w:val="single"/>
        </w:rPr>
      </w:pPr>
      <w:r w:rsidRPr="004C6FD9">
        <w:rPr>
          <w:rFonts w:eastAsia="Times New Roman"/>
          <w:b/>
          <w:u w:val="single"/>
        </w:rPr>
        <w:t>INTRODUCTION</w:t>
      </w:r>
    </w:p>
    <w:p w14:paraId="34C2A85B" w14:textId="77777777" w:rsidR="0022219C" w:rsidRPr="004C6FD9" w:rsidRDefault="0022219C" w:rsidP="0022219C">
      <w:pPr>
        <w:rPr>
          <w:rFonts w:eastAsia="Times New Roman"/>
          <w:b/>
          <w:u w:val="single"/>
        </w:rPr>
      </w:pPr>
    </w:p>
    <w:p w14:paraId="2AC17BE8" w14:textId="5B412C19" w:rsidR="0022219C" w:rsidRDefault="0022219C" w:rsidP="0022219C">
      <w:pPr>
        <w:spacing w:line="480" w:lineRule="auto"/>
      </w:pPr>
      <w:r w:rsidRPr="004C6FD9">
        <w:tab/>
        <w:t>P</w:t>
      </w:r>
      <w:r>
        <w:t xml:space="preserve">laintiff, OGS TV, Inc. (“OGS”) is bringing suit against Elizabeth Lime (“Lime”), and TinyTV, Inc. (“TinyTV”) </w:t>
      </w:r>
      <w:r w:rsidR="003C5176">
        <w:t>asserting ownership of the episode</w:t>
      </w:r>
      <w:r>
        <w:t xml:space="preserve"> </w:t>
      </w:r>
      <w:r w:rsidR="003C5176">
        <w:t xml:space="preserve">under 17 U.S.C. § 201 </w:t>
      </w:r>
      <w:r w:rsidR="00BB6F19">
        <w:t>of t</w:t>
      </w:r>
      <w:r>
        <w:t>he federal Copyright Act o</w:t>
      </w:r>
      <w:r w:rsidR="00D43746">
        <w:t>f 1976, as amended, 17 U.S.C. §</w:t>
      </w:r>
      <w:r>
        <w:t xml:space="preserve">101 et seq. Defendants request that the court grant the consolidated motion to dismiss on the ground that the Complaint fails to state a claim on which relief can be granted under Fed. R. Civ. P. 12(b)(6).  </w:t>
      </w:r>
    </w:p>
    <w:p w14:paraId="5BBB4CBF" w14:textId="6E45A208" w:rsidR="0022219C" w:rsidRDefault="0022219C" w:rsidP="0022219C">
      <w:pPr>
        <w:spacing w:line="480" w:lineRule="auto"/>
      </w:pPr>
      <w:r>
        <w:tab/>
        <w:t xml:space="preserve">To state a claim, Plaintiff must show that it is the owner of the work. To be the owner, Plaintiff must demonstrate that the agreement in question satisfies the requirements for the work to be considered “made for hire.” </w:t>
      </w:r>
      <w:r w:rsidR="00D43746">
        <w:t xml:space="preserve">Plaintiff cannot satisfy the requirements under 17 U.S.C. §101 because the writing did not precede the creation of the work. </w:t>
      </w:r>
    </w:p>
    <w:p w14:paraId="3B7C1095" w14:textId="69933790" w:rsidR="0022219C" w:rsidRDefault="0022219C" w:rsidP="0022219C">
      <w:pPr>
        <w:spacing w:line="480" w:lineRule="auto"/>
      </w:pPr>
      <w:r>
        <w:tab/>
        <w:t xml:space="preserve">The issue before the court is whether a written agreement, signed by the parties after the creation and submission of the original work satisfies the requirement, “the parties expressly agree in a written instrument signed by them that the work shall be considered a work </w:t>
      </w:r>
      <w:r w:rsidR="00D43746">
        <w:t>made for hire,” proscribed by 17 U.S.C. §</w:t>
      </w:r>
      <w:r>
        <w:t xml:space="preserve">101. The word “shall” in the text of the statute indicates that the parties must come to the agreement described before the work is created. All meanings of the </w:t>
      </w:r>
      <w:r>
        <w:lastRenderedPageBreak/>
        <w:t xml:space="preserve">word “shall,” embody a sense of what is to come in the future, so in order to agree that the work shall be made for hire, the writing must precede the creation. The written agreement signed by the parties in this case does not meet the requirement because it was signed after the creation of the work. </w:t>
      </w:r>
    </w:p>
    <w:p w14:paraId="2194EBC3" w14:textId="77777777" w:rsidR="0022219C" w:rsidRDefault="0022219C" w:rsidP="0022219C">
      <w:pPr>
        <w:spacing w:line="480" w:lineRule="auto"/>
        <w:jc w:val="center"/>
        <w:rPr>
          <w:b/>
          <w:u w:val="single"/>
        </w:rPr>
      </w:pPr>
      <w:r w:rsidRPr="004F2E64">
        <w:rPr>
          <w:b/>
          <w:u w:val="single"/>
        </w:rPr>
        <w:t>FACTS</w:t>
      </w:r>
    </w:p>
    <w:p w14:paraId="69256431" w14:textId="77097845" w:rsidR="0022219C" w:rsidRDefault="0022219C" w:rsidP="0022219C">
      <w:pPr>
        <w:spacing w:line="480" w:lineRule="auto"/>
      </w:pPr>
      <w:r>
        <w:tab/>
        <w:t xml:space="preserve">Defendant Lime is </w:t>
      </w:r>
      <w:r w:rsidR="005E0E18">
        <w:t>a well-known television writer. (</w:t>
      </w:r>
      <w:r w:rsidRPr="004F2E64">
        <w:t>Compl.</w:t>
      </w:r>
      <w:r w:rsidR="005E0E18">
        <w:t xml:space="preserve"> ¶</w:t>
      </w:r>
      <w:r>
        <w:t xml:space="preserve"> 11.) Plaintiff approached Lime on March 27, 2010 to request her screenwriting services. (Compl. ¶ 9.) On the same date, Plaintiff and Lime entered into an oral agreement that Lime would create an original screenplay for Plaintiff to use in its television series, Lawless Love. (Compl. ¶ 13</w:t>
      </w:r>
      <w:r w:rsidRPr="004F2E64">
        <w:t xml:space="preserve">.) </w:t>
      </w:r>
      <w:r>
        <w:t xml:space="preserve"> Lime orally agreed that her “work on the screenplay is for hire,” and that Plaintiff would pay her $6,000. (Compl. ¶ 16, 17, 15.) </w:t>
      </w:r>
    </w:p>
    <w:p w14:paraId="5A818929" w14:textId="78C79BF3" w:rsidR="0022219C" w:rsidRDefault="0022219C" w:rsidP="005E0E18">
      <w:pPr>
        <w:spacing w:line="480" w:lineRule="auto"/>
        <w:ind w:firstLine="720"/>
      </w:pPr>
      <w:r>
        <w:t>On April 1, 2010, Lime submitted the screenplay. (Compl. ¶ 21.</w:t>
      </w:r>
      <w:r w:rsidRPr="004F2E64">
        <w:t xml:space="preserve">) </w:t>
      </w:r>
      <w:r>
        <w:t xml:space="preserve"> Five days after submitting the screenplay, on April 6, 2010, Lime came to the office of Plaintiff to pick up a check for $6000. </w:t>
      </w:r>
      <w:r w:rsidR="005E0E18">
        <w:t xml:space="preserve">(Compl. ¶ 24.) </w:t>
      </w:r>
      <w:r>
        <w:t>On the same date, Lime signed a document labeled “Work-Made-For-Hire Agreement” that stated in its entirety: “I understand and agree that I have prepared the screenplay, ‘Anticipatory Repudiation,’ as a work made for hire under the federal Copyright Act of 1976. Pursuant to this law, OGS TV is the author of this screenplay.” (Compl. ¶ 24</w:t>
      </w:r>
      <w:r w:rsidRPr="004F2E64">
        <w:t xml:space="preserve">.) </w:t>
      </w:r>
      <w:r>
        <w:t xml:space="preserve">Plaintiff also signed the document on the same date. (Compl. ¶ 25.) </w:t>
      </w:r>
    </w:p>
    <w:p w14:paraId="51853302" w14:textId="2FD46EED" w:rsidR="00B5206E" w:rsidRDefault="00B5206E" w:rsidP="00413296">
      <w:pPr>
        <w:spacing w:line="480" w:lineRule="auto"/>
        <w:ind w:firstLine="720"/>
      </w:pPr>
      <w:r>
        <w:t>Later in 2010, Lime wrote the pilo</w:t>
      </w:r>
      <w:r w:rsidR="00E41330">
        <w:t xml:space="preserve">t episode, “The Love Below” for TinyTV’s new series, </w:t>
      </w:r>
      <w:r w:rsidR="00E41330" w:rsidRPr="00E41330">
        <w:rPr>
          <w:i/>
        </w:rPr>
        <w:t>The Tin Can</w:t>
      </w:r>
      <w:r w:rsidR="00E41330">
        <w:t>. (Compl. ¶ 28.) This episode was similar to Lime’s previous work, “Anticipatory Repudiation.” (Compl. ¶ 28.) “The Love Below” aired on September7, 2010 on TinyTv’s cable television channel. (Compl. ¶ 29.)</w:t>
      </w:r>
    </w:p>
    <w:p w14:paraId="51D8AC15" w14:textId="5C2E8FEC" w:rsidR="00B57E84" w:rsidRDefault="00B57E84" w:rsidP="00357CE6">
      <w:pPr>
        <w:spacing w:line="480" w:lineRule="auto"/>
        <w:jc w:val="center"/>
        <w:rPr>
          <w:b/>
          <w:u w:val="single"/>
        </w:rPr>
      </w:pPr>
      <w:r>
        <w:rPr>
          <w:b/>
          <w:u w:val="single"/>
        </w:rPr>
        <w:t>STANDARD OF REVIEW</w:t>
      </w:r>
    </w:p>
    <w:p w14:paraId="004E7015" w14:textId="3112EFF7" w:rsidR="00B57E84" w:rsidRDefault="00B57E84" w:rsidP="00B57E84">
      <w:pPr>
        <w:spacing w:line="480" w:lineRule="auto"/>
      </w:pPr>
      <w:r>
        <w:lastRenderedPageBreak/>
        <w:tab/>
      </w:r>
      <w:r w:rsidR="00CF0567">
        <w:t xml:space="preserve">Defendant moves for dismissal of the case for failure to state a claim under Rule 12(b)(6) of the Federal Rules of Civil Procedure. </w:t>
      </w:r>
      <w:r w:rsidR="004E02AF">
        <w:t xml:space="preserve">In order to survive a Rule 12(b)(6) motion to dismiss, the Plaintiff’s claim must meet the requirements of Rule 8. FRCP 8(a)(2) requires a “short and plain statement of the claim showing that the pleader is entitled to relief.” </w:t>
      </w:r>
    </w:p>
    <w:p w14:paraId="7E3A5300" w14:textId="38761C3E" w:rsidR="005E0E18" w:rsidRDefault="004E02AF" w:rsidP="00B57E84">
      <w:pPr>
        <w:spacing w:line="480" w:lineRule="auto"/>
      </w:pPr>
      <w:r>
        <w:tab/>
        <w:t xml:space="preserve">To satisfy the FRCP 8(a)(2) requirement, the complaint must contain sufficient factual matter, accepted as true, to “state a claim to relief that is plausible on its face.” </w:t>
      </w:r>
      <w:r>
        <w:rPr>
          <w:i/>
        </w:rPr>
        <w:t>Ashcroft v</w:t>
      </w:r>
      <w:r>
        <w:t>.</w:t>
      </w:r>
      <w:r w:rsidRPr="004E02AF">
        <w:rPr>
          <w:i/>
        </w:rPr>
        <w:t xml:space="preserve"> Iqbal</w:t>
      </w:r>
      <w:r>
        <w:t xml:space="preserve">, </w:t>
      </w:r>
      <w:r w:rsidR="00EF2AC8">
        <w:t>129 S.Ct. 1937</w:t>
      </w:r>
      <w:r>
        <w:t>,</w:t>
      </w:r>
      <w:r w:rsidR="00EF2AC8">
        <w:t xml:space="preserve"> 1939</w:t>
      </w:r>
      <w:r>
        <w:t xml:space="preserve"> </w:t>
      </w:r>
      <w:r w:rsidR="00EF2AC8">
        <w:t xml:space="preserve">(2009) </w:t>
      </w:r>
      <w:r>
        <w:t xml:space="preserve">(Citing </w:t>
      </w:r>
      <w:r w:rsidRPr="009B45CB">
        <w:rPr>
          <w:i/>
        </w:rPr>
        <w:t>Bell Atlantic Corp. v</w:t>
      </w:r>
      <w:r>
        <w:t xml:space="preserve">. </w:t>
      </w:r>
      <w:r w:rsidRPr="009B45CB">
        <w:rPr>
          <w:i/>
        </w:rPr>
        <w:t>Twombly</w:t>
      </w:r>
      <w:r w:rsidR="00EF2AC8">
        <w:t>, 550 U.S. 544, 570 (2007</w:t>
      </w:r>
      <w:r>
        <w:t xml:space="preserve">)). </w:t>
      </w:r>
      <w:r w:rsidR="005B747B">
        <w:t xml:space="preserve">The court should dismiss the claim if it is not plausible as stated in the claim.  </w:t>
      </w:r>
    </w:p>
    <w:p w14:paraId="3E8CB72A" w14:textId="50189657" w:rsidR="004E02AF" w:rsidRPr="00B57E84" w:rsidRDefault="005E0E18" w:rsidP="005E0E18">
      <w:pPr>
        <w:spacing w:line="480" w:lineRule="auto"/>
        <w:ind w:firstLine="720"/>
      </w:pPr>
      <w:r>
        <w:t>The facts presented by th</w:t>
      </w:r>
      <w:r w:rsidR="005B747B">
        <w:t>e Plaintiff in its complaint</w:t>
      </w:r>
      <w:r>
        <w:t xml:space="preserve"> fail to show that the Pl</w:t>
      </w:r>
      <w:r w:rsidR="005B747B">
        <w:t xml:space="preserve">aintiff is entitled to relief. </w:t>
      </w:r>
      <w:r>
        <w:t>The Plaintiff’s claim to ownership of the episode is implausible because Plaintiff states that “</w:t>
      </w:r>
      <w:r w:rsidR="005B747B">
        <w:t xml:space="preserve">Lime entered into an </w:t>
      </w:r>
      <w:r>
        <w:t>oral work-made</w:t>
      </w:r>
      <w:r w:rsidR="00E055B0">
        <w:t>-</w:t>
      </w:r>
      <w:r>
        <w:t>for-hire agreement</w:t>
      </w:r>
      <w:r w:rsidR="005B747B">
        <w:t xml:space="preserve"> with Plaintiff under 17 </w:t>
      </w:r>
      <w:r w:rsidR="005B747B" w:rsidRPr="005B747B">
        <w:t>U.S.C. §101</w:t>
      </w:r>
      <w:r w:rsidRPr="005B747B">
        <w:t>” before</w:t>
      </w:r>
      <w:r w:rsidR="001F77C2">
        <w:t xml:space="preserve"> Lime wrote the episode, and that the written document was signed after completion of the work (Compl. ¶ 18, 24</w:t>
      </w:r>
      <w:r w:rsidR="00E055B0" w:rsidRPr="004F2E64">
        <w:t xml:space="preserve">.) </w:t>
      </w:r>
      <w:r w:rsidR="00EC28DF">
        <w:t xml:space="preserve">An oral “work made for </w:t>
      </w:r>
      <w:r w:rsidR="005B747B">
        <w:t>hire</w:t>
      </w:r>
      <w:r w:rsidR="00EC28DF">
        <w:t>”</w:t>
      </w:r>
      <w:r w:rsidR="005B747B">
        <w:t xml:space="preserve"> agreement does not exist under 17 U.S.C. </w:t>
      </w:r>
      <w:r w:rsidR="005B747B" w:rsidRPr="005B747B">
        <w:t>§101</w:t>
      </w:r>
      <w:r w:rsidR="005B747B">
        <w:t>, and a</w:t>
      </w:r>
      <w:r w:rsidR="001F77C2">
        <w:t xml:space="preserve"> writing after creation of the work is not sufficient to satisfy the requirement under the statute, therefore,</w:t>
      </w:r>
      <w:r w:rsidR="005B747B">
        <w:t xml:space="preserve"> </w:t>
      </w:r>
      <w:r w:rsidR="001F77C2">
        <w:t>t</w:t>
      </w:r>
      <w:r>
        <w:t xml:space="preserve">he Court should </w:t>
      </w:r>
      <w:r w:rsidR="001F77C2">
        <w:t xml:space="preserve">dismiss the case. </w:t>
      </w:r>
    </w:p>
    <w:p w14:paraId="2D79FF81" w14:textId="77777777" w:rsidR="009A2789" w:rsidRPr="0022219C" w:rsidRDefault="00DA7FE8" w:rsidP="00357CE6">
      <w:pPr>
        <w:spacing w:line="480" w:lineRule="auto"/>
        <w:jc w:val="center"/>
        <w:rPr>
          <w:b/>
          <w:u w:val="single"/>
        </w:rPr>
      </w:pPr>
      <w:r w:rsidRPr="0022219C">
        <w:rPr>
          <w:b/>
          <w:u w:val="single"/>
        </w:rPr>
        <w:t>ARGUMENT</w:t>
      </w:r>
    </w:p>
    <w:p w14:paraId="3EDEEFEE" w14:textId="77777777" w:rsidR="00601554" w:rsidRPr="002C1794" w:rsidRDefault="00601554" w:rsidP="00601554">
      <w:pPr>
        <w:pStyle w:val="ListParagraph"/>
        <w:numPr>
          <w:ilvl w:val="0"/>
          <w:numId w:val="1"/>
        </w:numPr>
        <w:spacing w:line="480" w:lineRule="auto"/>
        <w:rPr>
          <w:b/>
        </w:rPr>
      </w:pPr>
      <w:r w:rsidRPr="002C1794">
        <w:rPr>
          <w:b/>
        </w:rPr>
        <w:t xml:space="preserve">The Defendant is the author of the work by default under </w:t>
      </w:r>
      <w:r w:rsidR="002C1794" w:rsidRPr="002C1794">
        <w:rPr>
          <w:b/>
        </w:rPr>
        <w:t>17 U.S.C. § 2</w:t>
      </w:r>
      <w:r w:rsidRPr="002C1794">
        <w:rPr>
          <w:b/>
        </w:rPr>
        <w:t>01</w:t>
      </w:r>
    </w:p>
    <w:p w14:paraId="5E50256D" w14:textId="16A3E704" w:rsidR="0051364F" w:rsidRDefault="00B57E84" w:rsidP="00D0517E">
      <w:pPr>
        <w:spacing w:line="480" w:lineRule="auto"/>
        <w:ind w:firstLine="360"/>
      </w:pPr>
      <w:r>
        <w:rPr>
          <w:color w:val="1C1C1C"/>
        </w:rPr>
        <w:t>The statute states: “</w:t>
      </w:r>
      <w:r w:rsidR="00601554" w:rsidRPr="00D0517E">
        <w:rPr>
          <w:color w:val="1C1C1C"/>
        </w:rPr>
        <w:t>Copyright in a work protected under this title vests initially in the author or authors of the work.</w:t>
      </w:r>
      <w:r>
        <w:rPr>
          <w:color w:val="1C1C1C"/>
        </w:rPr>
        <w:t>”</w:t>
      </w:r>
      <w:r w:rsidR="00601554" w:rsidRPr="00D0517E">
        <w:rPr>
          <w:color w:val="1C1C1C"/>
        </w:rPr>
        <w:t xml:space="preserve"> </w:t>
      </w:r>
      <w:r w:rsidR="002C1794" w:rsidRPr="002C1794">
        <w:t>17 U.S.C. § 2</w:t>
      </w:r>
      <w:r w:rsidR="00601554" w:rsidRPr="002C1794">
        <w:t xml:space="preserve">01. </w:t>
      </w:r>
      <w:r w:rsidR="00D0517E" w:rsidRPr="00D0517E">
        <w:rPr>
          <w:color w:val="1C1C1C"/>
        </w:rPr>
        <w:t>The</w:t>
      </w:r>
      <w:r w:rsidR="00506B5D" w:rsidRPr="00D0517E">
        <w:rPr>
          <w:color w:val="1C1C1C"/>
        </w:rPr>
        <w:t xml:space="preserve"> Plaintiff </w:t>
      </w:r>
      <w:r w:rsidR="00D0517E" w:rsidRPr="00D0517E">
        <w:rPr>
          <w:color w:val="1C1C1C"/>
        </w:rPr>
        <w:t>argues that</w:t>
      </w:r>
      <w:r w:rsidR="00506B5D" w:rsidRPr="00D0517E">
        <w:rPr>
          <w:color w:val="1C1C1C"/>
        </w:rPr>
        <w:t xml:space="preserve"> it</w:t>
      </w:r>
      <w:r w:rsidR="0051364F">
        <w:rPr>
          <w:color w:val="1C1C1C"/>
        </w:rPr>
        <w:t>, and not Defendant Lime</w:t>
      </w:r>
      <w:r>
        <w:rPr>
          <w:color w:val="1C1C1C"/>
        </w:rPr>
        <w:t>,</w:t>
      </w:r>
      <w:r w:rsidR="00506B5D" w:rsidRPr="00D0517E">
        <w:rPr>
          <w:color w:val="1C1C1C"/>
        </w:rPr>
        <w:t xml:space="preserve"> is the author of the episode under </w:t>
      </w:r>
      <w:r w:rsidR="00506B5D">
        <w:t>17 U.S.C. § 1</w:t>
      </w:r>
      <w:r w:rsidR="00506B5D" w:rsidRPr="002C1794">
        <w:t>01</w:t>
      </w:r>
      <w:r w:rsidR="00506B5D">
        <w:t xml:space="preserve"> because the work was created in a</w:t>
      </w:r>
      <w:r w:rsidR="00D0517E">
        <w:t xml:space="preserve"> “work made for hire” agreement. </w:t>
      </w:r>
    </w:p>
    <w:p w14:paraId="4EE72A4C" w14:textId="40C73989" w:rsidR="0051364F" w:rsidRPr="001D5850" w:rsidRDefault="00D0517E" w:rsidP="0051364F">
      <w:pPr>
        <w:spacing w:line="480" w:lineRule="auto"/>
        <w:ind w:firstLine="360"/>
        <w:rPr>
          <w:color w:val="1C1C1C"/>
        </w:rPr>
      </w:pPr>
      <w:r w:rsidRPr="00D0517E">
        <w:rPr>
          <w:color w:val="1C1C1C"/>
        </w:rPr>
        <w:lastRenderedPageBreak/>
        <w:t xml:space="preserve">In order to invoke </w:t>
      </w:r>
      <w:r>
        <w:rPr>
          <w:color w:val="1C1C1C"/>
        </w:rPr>
        <w:t xml:space="preserve">the “work made for hire” exception that allows for authorship and </w:t>
      </w:r>
      <w:r w:rsidRPr="001D5850">
        <w:rPr>
          <w:color w:val="1C1C1C"/>
        </w:rPr>
        <w:t xml:space="preserve">ownership by the commissioning party in </w:t>
      </w:r>
      <w:r w:rsidRPr="001D5850">
        <w:t>17 U.S.C. § 201(</w:t>
      </w:r>
      <w:r w:rsidRPr="001D5850">
        <w:rPr>
          <w:color w:val="1C1C1C"/>
        </w:rPr>
        <w:t xml:space="preserve">b), Plaintiff must meet requirements set forth in </w:t>
      </w:r>
      <w:r w:rsidRPr="001D5850">
        <w:t>17 U.S.C. § 101</w:t>
      </w:r>
      <w:r w:rsidR="001D5850" w:rsidRPr="001D5850">
        <w:t>(2)</w:t>
      </w:r>
      <w:r w:rsidR="00E055B0" w:rsidRPr="001D5850">
        <w:t xml:space="preserve">, which states: </w:t>
      </w:r>
      <w:r w:rsidR="00E055B0" w:rsidRPr="001D5850">
        <w:rPr>
          <w:color w:val="1C1C1C"/>
        </w:rPr>
        <w:t xml:space="preserve"> </w:t>
      </w:r>
    </w:p>
    <w:p w14:paraId="09E0C0DA" w14:textId="009976C5" w:rsidR="0051364F" w:rsidRDefault="001D5850" w:rsidP="001D5850">
      <w:pPr>
        <w:ind w:left="360"/>
        <w:rPr>
          <w:color w:val="1C1C1C"/>
        </w:rPr>
      </w:pPr>
      <w:r>
        <w:rPr>
          <w:color w:val="1C1C1C"/>
        </w:rPr>
        <w:t>A</w:t>
      </w:r>
      <w:r w:rsidRPr="001D5850">
        <w:rPr>
          <w:color w:val="1C1C1C"/>
        </w:rPr>
        <w:t xml:space="preserve"> work specially ordered or commissioned for use as a contribution to a collective work, as a part of a motion picture or other audiovisual work, as a translation, as a supplementary work, as a compilation, as an instructional text, as a test, as answer material for a test, or as an atlas, if the parties expressly agree in a written instrument signed by them that the work shall be considered a work made for hire.</w:t>
      </w:r>
    </w:p>
    <w:p w14:paraId="62D7D418" w14:textId="77777777" w:rsidR="001D5850" w:rsidRPr="001D5850" w:rsidRDefault="001D5850" w:rsidP="0051364F">
      <w:pPr>
        <w:rPr>
          <w:color w:val="1C1C1C"/>
        </w:rPr>
      </w:pPr>
    </w:p>
    <w:p w14:paraId="0C13F2E8" w14:textId="767212A6" w:rsidR="00D0517E" w:rsidRPr="001D5850" w:rsidRDefault="0051364F" w:rsidP="00B57E84">
      <w:pPr>
        <w:spacing w:line="480" w:lineRule="auto"/>
      </w:pPr>
      <w:r w:rsidRPr="001D5850">
        <w:t>The agreement signed by the parties does not meet the §101</w:t>
      </w:r>
      <w:r w:rsidR="00045221">
        <w:t>(2)</w:t>
      </w:r>
      <w:r w:rsidRPr="001D5850">
        <w:t xml:space="preserve"> requirements, therefore, the Defendant is</w:t>
      </w:r>
      <w:r w:rsidR="00AA6DB0" w:rsidRPr="001D5850">
        <w:t xml:space="preserve"> the</w:t>
      </w:r>
      <w:r w:rsidRPr="001D5850">
        <w:t xml:space="preserve"> author and owner of the episode. </w:t>
      </w:r>
    </w:p>
    <w:p w14:paraId="47AFB449" w14:textId="163780FE" w:rsidR="00D0517E" w:rsidRPr="00E055B0" w:rsidRDefault="00601554" w:rsidP="00E055B0">
      <w:pPr>
        <w:pStyle w:val="ListParagraph"/>
        <w:numPr>
          <w:ilvl w:val="0"/>
          <w:numId w:val="1"/>
        </w:numPr>
        <w:rPr>
          <w:b/>
          <w:color w:val="252525"/>
        </w:rPr>
      </w:pPr>
      <w:r w:rsidRPr="00AA6DB0">
        <w:rPr>
          <w:b/>
        </w:rPr>
        <w:t xml:space="preserve">The </w:t>
      </w:r>
      <w:r w:rsidR="00E055B0">
        <w:rPr>
          <w:b/>
        </w:rPr>
        <w:t xml:space="preserve">plain </w:t>
      </w:r>
      <w:r w:rsidRPr="00AA6DB0">
        <w:rPr>
          <w:b/>
        </w:rPr>
        <w:t xml:space="preserve">language </w:t>
      </w:r>
      <w:r w:rsidR="006E19A0" w:rsidRPr="00AA6DB0">
        <w:rPr>
          <w:b/>
        </w:rPr>
        <w:t xml:space="preserve">used in the definition of “works made for hire” </w:t>
      </w:r>
      <w:r w:rsidR="00DE7BDE">
        <w:rPr>
          <w:b/>
        </w:rPr>
        <w:t>indicates</w:t>
      </w:r>
      <w:r w:rsidR="0051364F" w:rsidRPr="00AA6DB0">
        <w:rPr>
          <w:b/>
        </w:rPr>
        <w:t xml:space="preserve"> </w:t>
      </w:r>
      <w:r w:rsidRPr="00AA6DB0">
        <w:rPr>
          <w:b/>
        </w:rPr>
        <w:t xml:space="preserve">that the written instrument </w:t>
      </w:r>
      <w:r w:rsidR="00DE7BDE">
        <w:rPr>
          <w:b/>
        </w:rPr>
        <w:t>must</w:t>
      </w:r>
      <w:r w:rsidRPr="00AA6DB0">
        <w:rPr>
          <w:b/>
        </w:rPr>
        <w:t xml:space="preserve"> precede the creation of the original work.</w:t>
      </w:r>
    </w:p>
    <w:p w14:paraId="019397E9" w14:textId="77777777" w:rsidR="00E055B0" w:rsidRPr="00AA6DB0" w:rsidRDefault="00E055B0" w:rsidP="00E055B0">
      <w:pPr>
        <w:pStyle w:val="ListParagraph"/>
        <w:ind w:left="1080"/>
        <w:rPr>
          <w:b/>
          <w:color w:val="252525"/>
        </w:rPr>
      </w:pPr>
    </w:p>
    <w:p w14:paraId="5DB2792A" w14:textId="08D64E02" w:rsidR="00FE559C" w:rsidRDefault="00D43746" w:rsidP="00D0517E">
      <w:pPr>
        <w:spacing w:line="480" w:lineRule="auto"/>
        <w:ind w:firstLine="360"/>
        <w:rPr>
          <w:color w:val="252525"/>
        </w:rPr>
      </w:pPr>
      <w:r>
        <w:rPr>
          <w:color w:val="252525"/>
        </w:rPr>
        <w:t>The plain language of the statute, with the use of the w</w:t>
      </w:r>
      <w:r w:rsidR="003B367A">
        <w:rPr>
          <w:color w:val="252525"/>
        </w:rPr>
        <w:t>ord “shall” shows that the writing must precede the creation of the work.</w:t>
      </w:r>
      <w:r>
        <w:rPr>
          <w:color w:val="252525"/>
        </w:rPr>
        <w:t xml:space="preserve"> </w:t>
      </w:r>
      <w:r w:rsidR="00294540" w:rsidRPr="00D0517E">
        <w:rPr>
          <w:color w:val="252525"/>
        </w:rPr>
        <w:t>When interpreting a statute, the Court must first consider the plain language</w:t>
      </w:r>
      <w:r w:rsidR="007C4BAB">
        <w:rPr>
          <w:color w:val="252525"/>
        </w:rPr>
        <w:t xml:space="preserve"> as</w:t>
      </w:r>
      <w:r w:rsidR="00294540" w:rsidRPr="00D0517E">
        <w:rPr>
          <w:color w:val="252525"/>
        </w:rPr>
        <w:t xml:space="preserve"> written by Congress. </w:t>
      </w:r>
      <w:r w:rsidR="007C4BAB">
        <w:rPr>
          <w:color w:val="252525"/>
        </w:rPr>
        <w:t xml:space="preserve">“It is axiomatic that </w:t>
      </w:r>
      <w:r w:rsidR="00FE559C">
        <w:rPr>
          <w:color w:val="252525"/>
        </w:rPr>
        <w:t xml:space="preserve">‘the starting point in every case involving construction of a statute is the language itself.’” </w:t>
      </w:r>
      <w:r w:rsidR="00FE559C" w:rsidRPr="00FE559C">
        <w:rPr>
          <w:i/>
          <w:color w:val="252525"/>
        </w:rPr>
        <w:t>Landreth Timber Company</w:t>
      </w:r>
      <w:r w:rsidR="00FE559C">
        <w:rPr>
          <w:color w:val="252525"/>
        </w:rPr>
        <w:t xml:space="preserve"> </w:t>
      </w:r>
      <w:r w:rsidR="00FE559C" w:rsidRPr="00FE559C">
        <w:rPr>
          <w:i/>
          <w:color w:val="252525"/>
        </w:rPr>
        <w:t>v</w:t>
      </w:r>
      <w:r w:rsidR="00FE559C">
        <w:rPr>
          <w:color w:val="252525"/>
        </w:rPr>
        <w:t xml:space="preserve">. </w:t>
      </w:r>
      <w:r w:rsidR="00FE559C" w:rsidRPr="00FE559C">
        <w:rPr>
          <w:i/>
          <w:color w:val="252525"/>
        </w:rPr>
        <w:t>Landreth</w:t>
      </w:r>
      <w:r w:rsidR="00FE559C">
        <w:rPr>
          <w:color w:val="252525"/>
        </w:rPr>
        <w:t xml:space="preserve"> 471 U.S. 681, 685 (1985) (Citing </w:t>
      </w:r>
      <w:r w:rsidR="00FE559C" w:rsidRPr="00FE559C">
        <w:rPr>
          <w:i/>
          <w:color w:val="252525"/>
        </w:rPr>
        <w:t>Blue Chip Stamps v</w:t>
      </w:r>
      <w:r w:rsidR="00FE559C">
        <w:rPr>
          <w:color w:val="252525"/>
        </w:rPr>
        <w:t xml:space="preserve">. </w:t>
      </w:r>
      <w:r w:rsidR="00FE559C" w:rsidRPr="00FE559C">
        <w:rPr>
          <w:i/>
          <w:color w:val="252525"/>
        </w:rPr>
        <w:t>Manor Drug Stores</w:t>
      </w:r>
      <w:r w:rsidR="00FE559C">
        <w:rPr>
          <w:color w:val="252525"/>
        </w:rPr>
        <w:t xml:space="preserve">, 421 U.S. 723, 756 (1975)). </w:t>
      </w:r>
    </w:p>
    <w:p w14:paraId="23B1886F" w14:textId="530A7A72" w:rsidR="00601554" w:rsidRDefault="00294540" w:rsidP="00FE559C">
      <w:pPr>
        <w:spacing w:line="480" w:lineRule="auto"/>
        <w:ind w:firstLine="360"/>
        <w:rPr>
          <w:color w:val="1C1C1C"/>
        </w:rPr>
      </w:pPr>
      <w:r>
        <w:rPr>
          <w:color w:val="252525"/>
        </w:rPr>
        <w:t xml:space="preserve">The </w:t>
      </w:r>
      <w:r w:rsidR="0051364F">
        <w:rPr>
          <w:color w:val="252525"/>
        </w:rPr>
        <w:t xml:space="preserve">text of the statute defines a </w:t>
      </w:r>
      <w:r w:rsidR="00EC28DF">
        <w:rPr>
          <w:color w:val="252525"/>
        </w:rPr>
        <w:t>“</w:t>
      </w:r>
      <w:r w:rsidR="0051364F">
        <w:rPr>
          <w:color w:val="252525"/>
        </w:rPr>
        <w:t>work made for hire</w:t>
      </w:r>
      <w:r w:rsidR="00EC28DF">
        <w:rPr>
          <w:color w:val="252525"/>
        </w:rPr>
        <w:t>”</w:t>
      </w:r>
      <w:r w:rsidR="0051364F">
        <w:rPr>
          <w:color w:val="252525"/>
        </w:rPr>
        <w:t xml:space="preserve"> as </w:t>
      </w:r>
      <w:r w:rsidR="002C1794" w:rsidRPr="0051364F">
        <w:rPr>
          <w:color w:val="1C1C1C"/>
        </w:rPr>
        <w:t>“a work sp</w:t>
      </w:r>
      <w:r w:rsidR="0051364F">
        <w:rPr>
          <w:color w:val="1C1C1C"/>
        </w:rPr>
        <w:t xml:space="preserve">ecially ordered or commissioned… </w:t>
      </w:r>
      <w:r w:rsidR="002C1794" w:rsidRPr="0051364F">
        <w:rPr>
          <w:color w:val="1C1C1C"/>
        </w:rPr>
        <w:t xml:space="preserve">if the parties expressly agree in a written instrument signed by them that the work shall be considered a work made for hire.” 17 U.S.C. </w:t>
      </w:r>
      <w:r w:rsidR="005216FB">
        <w:t xml:space="preserve">§ </w:t>
      </w:r>
      <w:r w:rsidR="002C1794" w:rsidRPr="0051364F">
        <w:rPr>
          <w:color w:val="1C1C1C"/>
        </w:rPr>
        <w:t xml:space="preserve">101. </w:t>
      </w:r>
      <w:r w:rsidR="0051364F">
        <w:rPr>
          <w:color w:val="1C1C1C"/>
        </w:rPr>
        <w:t>As the term “shall” is not defined in the statute</w:t>
      </w:r>
      <w:r w:rsidR="00C634E7">
        <w:rPr>
          <w:color w:val="1C1C1C"/>
        </w:rPr>
        <w:t>, it should be construed “in accordance with its ordinary or natural meaning</w:t>
      </w:r>
      <w:r w:rsidR="007C5F7F">
        <w:rPr>
          <w:color w:val="1C1C1C"/>
        </w:rPr>
        <w:t>.</w:t>
      </w:r>
      <w:r w:rsidR="00C634E7">
        <w:rPr>
          <w:color w:val="1C1C1C"/>
        </w:rPr>
        <w:t xml:space="preserve">” </w:t>
      </w:r>
      <w:r w:rsidR="00C634E7" w:rsidRPr="00C634E7">
        <w:rPr>
          <w:i/>
          <w:color w:val="1C1C1C"/>
        </w:rPr>
        <w:t>FDIC v</w:t>
      </w:r>
      <w:r w:rsidR="00C634E7">
        <w:rPr>
          <w:color w:val="1C1C1C"/>
        </w:rPr>
        <w:t>.</w:t>
      </w:r>
      <w:r w:rsidR="00C634E7" w:rsidRPr="00C634E7">
        <w:rPr>
          <w:i/>
          <w:color w:val="1C1C1C"/>
        </w:rPr>
        <w:t xml:space="preserve"> Meyer</w:t>
      </w:r>
      <w:r w:rsidR="00C634E7">
        <w:rPr>
          <w:color w:val="1C1C1C"/>
        </w:rPr>
        <w:t xml:space="preserve">, 510 U.S. 471, 476 (1994). </w:t>
      </w:r>
      <w:r w:rsidR="007C5F7F">
        <w:rPr>
          <w:color w:val="1C1C1C"/>
        </w:rPr>
        <w:t xml:space="preserve"> </w:t>
      </w:r>
    </w:p>
    <w:p w14:paraId="32A3280F" w14:textId="48751960" w:rsidR="007C5F7F" w:rsidRDefault="00D43746" w:rsidP="007C5F7F">
      <w:pPr>
        <w:spacing w:line="480" w:lineRule="auto"/>
        <w:ind w:firstLine="360"/>
      </w:pPr>
      <w:r>
        <w:t>The definition of “shall” is:</w:t>
      </w:r>
      <w:r w:rsidR="0051364F">
        <w:rPr>
          <w:color w:val="1C1C1C"/>
        </w:rPr>
        <w:t xml:space="preserve"> 1) will have to; 2) will be able to; 3) used in laws, regulations or directives to express what is mandatory; 4) used to express what is inevitable or seems likely to happen in the future; 5) used to express simple futurity. </w:t>
      </w:r>
      <w:r>
        <w:rPr>
          <w:color w:val="1C1C1C"/>
        </w:rPr>
        <w:t xml:space="preserve">MERRIAM-WEBSTER DICTIONARY </w:t>
      </w:r>
      <w:r>
        <w:rPr>
          <w:color w:val="1C1C1C"/>
        </w:rPr>
        <w:lastRenderedPageBreak/>
        <w:t xml:space="preserve">(2012). </w:t>
      </w:r>
      <w:r w:rsidR="0051364F">
        <w:t xml:space="preserve">All meanings of the word “shall,” embody a sense of what is to come in the future, so in order to agree that the work shall be made for hire, the writing must precede the creation. </w:t>
      </w:r>
    </w:p>
    <w:p w14:paraId="685767FD" w14:textId="33942A95" w:rsidR="00DE7BDE" w:rsidRPr="00DE7BDE" w:rsidRDefault="00DE7BDE" w:rsidP="007C5F7F">
      <w:pPr>
        <w:spacing w:line="480" w:lineRule="auto"/>
        <w:ind w:firstLine="360"/>
      </w:pPr>
      <w:r>
        <w:t xml:space="preserve">In addition, the terms “specially ordered or commissioned” imply that the writing must precede the creation. “Works ‘specially ordered or commissioned’ can only be made after the </w:t>
      </w:r>
      <w:r w:rsidRPr="00DE7BDE">
        <w:t xml:space="preserve">execution of an express agreement between the parties.” </w:t>
      </w:r>
      <w:r w:rsidRPr="00DE7BDE">
        <w:rPr>
          <w:i/>
        </w:rPr>
        <w:t>Gladwell Gov’t Services, Inc. v</w:t>
      </w:r>
      <w:r w:rsidRPr="00DE7BDE">
        <w:t xml:space="preserve">. </w:t>
      </w:r>
      <w:r w:rsidRPr="00DE7BDE">
        <w:rPr>
          <w:i/>
        </w:rPr>
        <w:t>County of Marin</w:t>
      </w:r>
      <w:r w:rsidRPr="00DE7BDE">
        <w:t xml:space="preserve">, 265 Fed.Appx. 624, </w:t>
      </w:r>
      <w:r>
        <w:t xml:space="preserve">626 </w:t>
      </w:r>
      <w:r w:rsidRPr="00DE7BDE">
        <w:t xml:space="preserve">(2007). </w:t>
      </w:r>
    </w:p>
    <w:p w14:paraId="268A2A43" w14:textId="42DD57F8" w:rsidR="007C5F7F" w:rsidRPr="00506B5D" w:rsidRDefault="004E3B9B" w:rsidP="007C5F7F">
      <w:pPr>
        <w:spacing w:line="480" w:lineRule="auto"/>
        <w:ind w:firstLine="360"/>
      </w:pPr>
      <w:r>
        <w:t>Consideration of the plain language of the statute illustrations that the</w:t>
      </w:r>
      <w:r w:rsidR="0051364F">
        <w:t xml:space="preserve"> written agreement signed by the parties in this case</w:t>
      </w:r>
      <w:r>
        <w:t xml:space="preserve"> should not be cons</w:t>
      </w:r>
      <w:r w:rsidR="00EC28DF">
        <w:t xml:space="preserve">idered a </w:t>
      </w:r>
      <w:r w:rsidR="00075BD8">
        <w:t>“</w:t>
      </w:r>
      <w:r w:rsidR="00EC28DF">
        <w:t>work made for hire</w:t>
      </w:r>
      <w:r w:rsidR="00075BD8">
        <w:t>”</w:t>
      </w:r>
      <w:r>
        <w:t xml:space="preserve"> agreement. It</w:t>
      </w:r>
      <w:r w:rsidR="0051364F">
        <w:t xml:space="preserve"> does not meet the requirement</w:t>
      </w:r>
      <w:r>
        <w:t xml:space="preserve"> of 17 U.S.C. § 101</w:t>
      </w:r>
      <w:r w:rsidR="0051364F">
        <w:t xml:space="preserve"> because it was signed after the </w:t>
      </w:r>
      <w:r>
        <w:t>completion</w:t>
      </w:r>
      <w:r w:rsidR="0051364F">
        <w:t xml:space="preserve"> of the work</w:t>
      </w:r>
      <w:r w:rsidR="001123B3">
        <w:t>, thus the court should grant Defendant’s motion to dismiss</w:t>
      </w:r>
      <w:r w:rsidR="0051364F">
        <w:t>.</w:t>
      </w:r>
      <w:r w:rsidR="007C5F7F">
        <w:t xml:space="preserve"> </w:t>
      </w:r>
    </w:p>
    <w:p w14:paraId="66EFE664" w14:textId="497D5095" w:rsidR="009F1643" w:rsidRDefault="00EC28DF" w:rsidP="009F1643">
      <w:pPr>
        <w:pStyle w:val="ListParagraph"/>
        <w:numPr>
          <w:ilvl w:val="0"/>
          <w:numId w:val="1"/>
        </w:numPr>
        <w:rPr>
          <w:b/>
        </w:rPr>
      </w:pPr>
      <w:r>
        <w:rPr>
          <w:b/>
        </w:rPr>
        <w:t xml:space="preserve">The multiple purpose of the </w:t>
      </w:r>
      <w:r w:rsidR="00075BD8">
        <w:rPr>
          <w:b/>
        </w:rPr>
        <w:t>“</w:t>
      </w:r>
      <w:r>
        <w:rPr>
          <w:b/>
        </w:rPr>
        <w:t xml:space="preserve">work made for </w:t>
      </w:r>
      <w:r w:rsidR="009F1643" w:rsidRPr="009F1643">
        <w:rPr>
          <w:b/>
        </w:rPr>
        <w:t>hire</w:t>
      </w:r>
      <w:r w:rsidR="00075BD8">
        <w:rPr>
          <w:b/>
        </w:rPr>
        <w:t>”</w:t>
      </w:r>
      <w:r w:rsidR="009F1643" w:rsidRPr="009F1643">
        <w:rPr>
          <w:b/>
        </w:rPr>
        <w:t xml:space="preserve"> provision requires that the writing precede the creation of the work in question. </w:t>
      </w:r>
    </w:p>
    <w:p w14:paraId="2829C36D" w14:textId="77777777" w:rsidR="009F1643" w:rsidRPr="009F1643" w:rsidRDefault="009F1643" w:rsidP="009F1643">
      <w:pPr>
        <w:pStyle w:val="ListParagraph"/>
        <w:ind w:left="1080"/>
        <w:rPr>
          <w:b/>
        </w:rPr>
      </w:pPr>
    </w:p>
    <w:p w14:paraId="1C667A46" w14:textId="7678B6EC" w:rsidR="009F1643" w:rsidRDefault="00EC28DF" w:rsidP="00075BD8">
      <w:pPr>
        <w:spacing w:line="480" w:lineRule="auto"/>
        <w:ind w:firstLine="360"/>
      </w:pPr>
      <w:r>
        <w:t xml:space="preserve">The purposes of the </w:t>
      </w:r>
      <w:r w:rsidR="00075BD8">
        <w:t>“</w:t>
      </w:r>
      <w:r>
        <w:t>work made for hire</w:t>
      </w:r>
      <w:r w:rsidR="00075BD8">
        <w:t>”</w:t>
      </w:r>
      <w:r w:rsidR="009F1643">
        <w:t xml:space="preserve"> provision, </w:t>
      </w:r>
      <w:r w:rsidR="00346C99">
        <w:t xml:space="preserve">to enhance certainty of copyright ownership, </w:t>
      </w:r>
      <w:r w:rsidR="009F1643">
        <w:t xml:space="preserve">to protect the parties’ interests, </w:t>
      </w:r>
      <w:r w:rsidR="00346C99">
        <w:t xml:space="preserve">and </w:t>
      </w:r>
      <w:r w:rsidR="009F1643">
        <w:t>to promote the marketability of creat</w:t>
      </w:r>
      <w:r w:rsidR="00346C99">
        <w:t xml:space="preserve">ive works </w:t>
      </w:r>
      <w:r w:rsidR="009F1643">
        <w:t xml:space="preserve">call for the requirement that the writing precede the creation of the work. The Court should interpret a statute in the way that will produce the result intended by Congress. </w:t>
      </w:r>
      <w:r w:rsidR="009F1643" w:rsidRPr="009F1643">
        <w:rPr>
          <w:i/>
        </w:rPr>
        <w:t>Moskal v. U.S.</w:t>
      </w:r>
      <w:r w:rsidR="009F1643">
        <w:t xml:space="preserve">, 498 U.S. 103, 117 (1990). </w:t>
      </w:r>
    </w:p>
    <w:p w14:paraId="226D9125" w14:textId="77777777" w:rsidR="009F1643" w:rsidRDefault="009F1643" w:rsidP="009F1643">
      <w:pPr>
        <w:spacing w:line="480" w:lineRule="auto"/>
        <w:ind w:firstLine="360"/>
      </w:pPr>
      <w:r>
        <w:t xml:space="preserve">The shift from a “fluid common law of rebuttable presumptions” under the 1909 Act to a “more certain provision backed up with a statute of frauds” under the 1976 Act demonstrates the concern for protection of the parties’ interests. Litman, </w:t>
      </w:r>
      <w:r w:rsidRPr="009F1643">
        <w:rPr>
          <w:i/>
        </w:rPr>
        <w:t>Copyright, Compromise, and Legislative History</w:t>
      </w:r>
      <w:r>
        <w:t xml:space="preserve">, 72 Cornell L.Rev. 857, 890 (1987). It is in the interests of the parties that the owner be clearly identified, and “the writing must precede the creation of the property in order to serve its purpose of identifying the (non-creator) owner unequivocally.” </w:t>
      </w:r>
      <w:r w:rsidRPr="009F1643">
        <w:rPr>
          <w:i/>
        </w:rPr>
        <w:t>Schiller &amp; Schmidt, Inc. v. Nordisco Corp</w:t>
      </w:r>
      <w:r>
        <w:t xml:space="preserve">., 969 F.2d 410, 412 (7th Cir. 1992). </w:t>
      </w:r>
    </w:p>
    <w:p w14:paraId="5A0E2686" w14:textId="3B200D58" w:rsidR="009F1643" w:rsidRDefault="009F1643" w:rsidP="009F1643">
      <w:pPr>
        <w:spacing w:line="480" w:lineRule="auto"/>
        <w:ind w:firstLine="360"/>
      </w:pPr>
      <w:r>
        <w:lastRenderedPageBreak/>
        <w:t xml:space="preserve">The marketability of creative works was also a main concern throughout development of the </w:t>
      </w:r>
      <w:r w:rsidR="00075BD8">
        <w:t>“</w:t>
      </w:r>
      <w:r w:rsidR="00EC28DF">
        <w:t>work made for hire</w:t>
      </w:r>
      <w:r w:rsidR="00075BD8">
        <w:t>”</w:t>
      </w:r>
      <w:r>
        <w:t xml:space="preserve"> provision. One of the purposes of the signed statement requirement is “</w:t>
      </w:r>
      <w:r w:rsidRPr="00960E03">
        <w:t>to make the ownership of property rights in intellectual property clear and definite, so that such property will be readily marketable.</w:t>
      </w:r>
      <w:r>
        <w:t>”</w:t>
      </w:r>
      <w:r w:rsidRPr="00960E03">
        <w:t xml:space="preserve"> </w:t>
      </w:r>
      <w:r w:rsidRPr="009F1643">
        <w:rPr>
          <w:i/>
        </w:rPr>
        <w:t>Schiller &amp; Schmidt, Inc. v. Nordisco Corp</w:t>
      </w:r>
      <w:r>
        <w:t>., 969 F.2d 410, 412 (7th Cir. 1992).</w:t>
      </w:r>
    </w:p>
    <w:p w14:paraId="5F3DF514" w14:textId="543164B2" w:rsidR="009F1643" w:rsidRPr="009F1643" w:rsidRDefault="009F1643" w:rsidP="009F1643">
      <w:pPr>
        <w:spacing w:line="480" w:lineRule="auto"/>
        <w:ind w:firstLine="360"/>
      </w:pPr>
      <w:r>
        <w:t xml:space="preserve">In </w:t>
      </w:r>
      <w:r w:rsidRPr="009F1643">
        <w:rPr>
          <w:i/>
        </w:rPr>
        <w:t>Community For Creative Non-Violence v</w:t>
      </w:r>
      <w:r>
        <w:t xml:space="preserve">. </w:t>
      </w:r>
      <w:r w:rsidRPr="009F1643">
        <w:rPr>
          <w:i/>
        </w:rPr>
        <w:t>Reid</w:t>
      </w:r>
      <w:r>
        <w:t>, the Supreme Court rejected a con</w:t>
      </w:r>
      <w:r w:rsidR="00EC28DF">
        <w:t xml:space="preserve">struction of the </w:t>
      </w:r>
      <w:r w:rsidR="00075BD8">
        <w:t>“</w:t>
      </w:r>
      <w:r w:rsidR="00EC28DF">
        <w:t>work made for hire</w:t>
      </w:r>
      <w:r>
        <w:t xml:space="preserve"> provision</w:t>
      </w:r>
      <w:r w:rsidR="00075BD8">
        <w:t>”</w:t>
      </w:r>
      <w:r>
        <w:t xml:space="preserve"> because it “would impede Congress’ paramount goal in revising the 1967 Act of enhancing predictability and certainty of copyright ownership.” 490 U.S. at 749. The court should grant Defendant’s motion to dismiss because in order to fulfill the</w:t>
      </w:r>
      <w:r w:rsidR="00EC28DF">
        <w:t xml:space="preserve"> purposes of the </w:t>
      </w:r>
      <w:r w:rsidR="00075BD8">
        <w:t>“</w:t>
      </w:r>
      <w:r w:rsidR="00EC28DF">
        <w:t>work made for hire</w:t>
      </w:r>
      <w:r w:rsidR="00075BD8">
        <w:t>”</w:t>
      </w:r>
      <w:r>
        <w:t xml:space="preserve"> provision, the writing must precede the creation of the work. </w:t>
      </w:r>
    </w:p>
    <w:p w14:paraId="78BE73E5" w14:textId="70FA2DD5" w:rsidR="0041604B" w:rsidRDefault="0017065E" w:rsidP="00410199">
      <w:pPr>
        <w:pStyle w:val="ListParagraph"/>
        <w:numPr>
          <w:ilvl w:val="0"/>
          <w:numId w:val="1"/>
        </w:numPr>
        <w:rPr>
          <w:b/>
        </w:rPr>
      </w:pPr>
      <w:r>
        <w:rPr>
          <w:b/>
        </w:rPr>
        <w:t>Congress</w:t>
      </w:r>
      <w:r w:rsidR="00CF0567">
        <w:rPr>
          <w:b/>
        </w:rPr>
        <w:t>ional history explaining</w:t>
      </w:r>
      <w:r>
        <w:rPr>
          <w:b/>
        </w:rPr>
        <w:t xml:space="preserve"> that the written instrument </w:t>
      </w:r>
      <w:r w:rsidR="00CF0567">
        <w:rPr>
          <w:b/>
        </w:rPr>
        <w:t>must be</w:t>
      </w:r>
      <w:r>
        <w:rPr>
          <w:b/>
        </w:rPr>
        <w:t xml:space="preserve"> signed prior to creation </w:t>
      </w:r>
      <w:r w:rsidR="00CF0567">
        <w:rPr>
          <w:b/>
        </w:rPr>
        <w:t>should</w:t>
      </w:r>
      <w:r w:rsidR="0041604B">
        <w:rPr>
          <w:b/>
        </w:rPr>
        <w:t xml:space="preserve"> be considered due to the lack of </w:t>
      </w:r>
      <w:r>
        <w:rPr>
          <w:b/>
        </w:rPr>
        <w:t xml:space="preserve">detail in the text of the statute. </w:t>
      </w:r>
      <w:r w:rsidR="0041604B">
        <w:rPr>
          <w:b/>
        </w:rPr>
        <w:t xml:space="preserve"> </w:t>
      </w:r>
    </w:p>
    <w:p w14:paraId="65A75E66" w14:textId="77777777" w:rsidR="00410199" w:rsidRDefault="00410199" w:rsidP="00410199">
      <w:pPr>
        <w:pStyle w:val="ListParagraph"/>
        <w:ind w:left="1080"/>
        <w:rPr>
          <w:b/>
        </w:rPr>
      </w:pPr>
    </w:p>
    <w:p w14:paraId="342CE212" w14:textId="7E88BCF0" w:rsidR="0017065E" w:rsidRDefault="00046356" w:rsidP="00F838D0">
      <w:pPr>
        <w:spacing w:line="480" w:lineRule="auto"/>
        <w:ind w:firstLine="360"/>
      </w:pPr>
      <w:r>
        <w:t>Should the court find that there is ambiguity in the language of the statute, or</w:t>
      </w:r>
      <w:r w:rsidR="00CF0567">
        <w:t xml:space="preserve"> </w:t>
      </w:r>
      <w:r>
        <w:t xml:space="preserve">that there </w:t>
      </w:r>
      <w:r w:rsidR="00D848CF">
        <w:t>may be</w:t>
      </w:r>
      <w:r>
        <w:t xml:space="preserve"> </w:t>
      </w:r>
      <w:r w:rsidR="00CF0567">
        <w:t>multiple interpretations of the text,</w:t>
      </w:r>
      <w:r>
        <w:t xml:space="preserve"> the</w:t>
      </w:r>
      <w:r w:rsidR="00CF0567">
        <w:t xml:space="preserve"> legislative history should be considered. </w:t>
      </w:r>
      <w:r w:rsidR="00CF0567" w:rsidRPr="00CF0567">
        <w:rPr>
          <w:i/>
        </w:rPr>
        <w:t>Florida Power &amp; Light Co. v</w:t>
      </w:r>
      <w:r w:rsidR="00CF0567">
        <w:t xml:space="preserve">. </w:t>
      </w:r>
      <w:r w:rsidR="00CF0567" w:rsidRPr="00CF0567">
        <w:rPr>
          <w:i/>
        </w:rPr>
        <w:t>Lorion</w:t>
      </w:r>
      <w:r w:rsidR="00CF0567">
        <w:t xml:space="preserve">, 470 U.S. 729, 737 (1985). </w:t>
      </w:r>
      <w:r w:rsidR="0017065E">
        <w:t>While the plain language of the statute, with the use of the word “shall,” demonstrates that the written instrument must be signed prior to the creation of the work, the text may not be explicit enough on this point</w:t>
      </w:r>
      <w:r w:rsidR="00CF0567">
        <w:t xml:space="preserve"> for the court to rule out alternative interpretations</w:t>
      </w:r>
      <w:r w:rsidR="0017065E">
        <w:t xml:space="preserve">. </w:t>
      </w:r>
    </w:p>
    <w:p w14:paraId="73E19F08" w14:textId="3600D6FA" w:rsidR="00410199" w:rsidRDefault="00410199" w:rsidP="00410199">
      <w:pPr>
        <w:pStyle w:val="ListParagraph"/>
        <w:numPr>
          <w:ilvl w:val="1"/>
          <w:numId w:val="1"/>
        </w:numPr>
        <w:rPr>
          <w:b/>
        </w:rPr>
      </w:pPr>
      <w:r w:rsidRPr="00410199">
        <w:rPr>
          <w:b/>
        </w:rPr>
        <w:t xml:space="preserve">Congress did not intend </w:t>
      </w:r>
      <w:r w:rsidR="00562A4F">
        <w:rPr>
          <w:b/>
        </w:rPr>
        <w:t>for</w:t>
      </w:r>
      <w:r w:rsidRPr="00410199">
        <w:rPr>
          <w:b/>
        </w:rPr>
        <w:t xml:space="preserve"> agreements signed after the creation of the work </w:t>
      </w:r>
      <w:r w:rsidR="00562A4F">
        <w:rPr>
          <w:b/>
        </w:rPr>
        <w:t xml:space="preserve">to </w:t>
      </w:r>
      <w:r w:rsidRPr="00410199">
        <w:rPr>
          <w:b/>
        </w:rPr>
        <w:t xml:space="preserve">be considered “work made for hire.” </w:t>
      </w:r>
    </w:p>
    <w:p w14:paraId="60DD5362" w14:textId="77777777" w:rsidR="00410199" w:rsidRPr="00410199" w:rsidRDefault="00410199" w:rsidP="00410199">
      <w:pPr>
        <w:pStyle w:val="ListParagraph"/>
        <w:ind w:left="1440"/>
        <w:rPr>
          <w:b/>
        </w:rPr>
      </w:pPr>
    </w:p>
    <w:p w14:paraId="319EFE5A" w14:textId="77777777" w:rsidR="00410199" w:rsidRDefault="00410199" w:rsidP="00F838D0">
      <w:pPr>
        <w:spacing w:line="480" w:lineRule="auto"/>
        <w:ind w:firstLine="720"/>
      </w:pPr>
      <w:r>
        <w:t xml:space="preserve">The legislative history shows that Congress intended that the writing precede the creation of the work. According to the Supreme Court, “In aid of the process of construction we are at liberty, if the meaning be uncertain to have recourse to the legislative history of the measure and </w:t>
      </w:r>
      <w:r>
        <w:lastRenderedPageBreak/>
        <w:t xml:space="preserve">the statements by those in charge of it during its consideration by the Congress.” </w:t>
      </w:r>
      <w:r w:rsidRPr="008D4C14">
        <w:rPr>
          <w:i/>
        </w:rPr>
        <w:t>United States v</w:t>
      </w:r>
      <w:r>
        <w:t xml:space="preserve">. </w:t>
      </w:r>
      <w:r w:rsidRPr="008D4C14">
        <w:rPr>
          <w:i/>
        </w:rPr>
        <w:t>Great Northern Ry</w:t>
      </w:r>
      <w:r>
        <w:t xml:space="preserve">., 287 U.S. 144, 154-155 (1932). As in Davies v. United States, 495 U.S. 472, 472 (1990), when the text of the statute could support different meanings, the history of the statute may be used to discern the intent of the Congress. </w:t>
      </w:r>
    </w:p>
    <w:p w14:paraId="3B9093B2" w14:textId="72E1C031" w:rsidR="00410199" w:rsidRDefault="00410199" w:rsidP="00410199">
      <w:pPr>
        <w:spacing w:line="480" w:lineRule="auto"/>
        <w:ind w:firstLine="720"/>
      </w:pPr>
      <w:r>
        <w:t>It is common for courts to consider legislative history in interpreting The Copyright Act of 1976 because “the statute is complicated and its language is often unclear.” 7</w:t>
      </w:r>
      <w:r w:rsidR="00227474">
        <w:t>2 Cornell L.Rev. at</w:t>
      </w:r>
      <w:r w:rsidR="00FF0EA1">
        <w:t xml:space="preserve"> 860</w:t>
      </w:r>
      <w:r>
        <w:t xml:space="preserve">.  The Supreme Court has used the legislative history in its consideration of other Copyright Act cases. In </w:t>
      </w:r>
      <w:r w:rsidRPr="00F02651">
        <w:rPr>
          <w:i/>
        </w:rPr>
        <w:t>Harper &amp; Row Publishers, Inc. v</w:t>
      </w:r>
      <w:r>
        <w:t xml:space="preserve">. </w:t>
      </w:r>
      <w:r w:rsidRPr="00F02651">
        <w:rPr>
          <w:i/>
        </w:rPr>
        <w:t>Nation Enterprises</w:t>
      </w:r>
      <w:r>
        <w:rPr>
          <w:i/>
        </w:rPr>
        <w:t xml:space="preserve"> </w:t>
      </w:r>
      <w:r>
        <w:t xml:space="preserve">471 U.S. 539 (1985), the Supreme Court “looked to the language in the House Committee Report.” </w:t>
      </w:r>
      <w:r w:rsidRPr="00F02651">
        <w:rPr>
          <w:i/>
        </w:rPr>
        <w:t>Id</w:t>
      </w:r>
      <w:r>
        <w:t xml:space="preserve">. at 897. </w:t>
      </w:r>
    </w:p>
    <w:p w14:paraId="347ED4B4" w14:textId="77777777" w:rsidR="00410199" w:rsidRDefault="00410199" w:rsidP="00410199">
      <w:pPr>
        <w:spacing w:line="480" w:lineRule="auto"/>
        <w:ind w:firstLine="720"/>
        <w:rPr>
          <w:b/>
        </w:rPr>
      </w:pPr>
      <w:r>
        <w:t>Relevant legislative history reveals that Congress considered the issue of whether the written instrument could be implemented after the creation of a work. In response to issues raised by the panel testifying before the House Committee on the Judiciary, Barbara Ringer stated, “it has to be ‘a work prepared on special order or commission’ in the first place. It would not be considered a ‘work made for hire’ if the contract were signed later on – after the work was written, for example.” H.R.Rep. no. 51-374, 89th Cong., 1st Sess., Part 5, 1964 Revision Bill with Discussion and Comments, at 145 (1965).</w:t>
      </w:r>
      <w:r w:rsidRPr="00240511">
        <w:rPr>
          <w:b/>
        </w:rPr>
        <w:t xml:space="preserve"> </w:t>
      </w:r>
    </w:p>
    <w:p w14:paraId="00B2CA59" w14:textId="111C972B" w:rsidR="00410199" w:rsidRPr="00700B74" w:rsidRDefault="00410199" w:rsidP="00410199">
      <w:pPr>
        <w:spacing w:line="480" w:lineRule="auto"/>
        <w:ind w:firstLine="720"/>
      </w:pPr>
      <w:r>
        <w:t>Because the Court should take into account “the statements by those in charge” 287 U.S. 144, 154-155, Ringer’s testimony is especially significant to our issue. The Copyright Office was a central player in the negotiations leading up to the 1976 Act, aiding Congress in facilitating compromise between the interes</w:t>
      </w:r>
      <w:r w:rsidR="00227474">
        <w:t>t groups. 72 Cornell L.Rev. at</w:t>
      </w:r>
      <w:r>
        <w:t xml:space="preserve"> 872-873. Ringer worked at the Copyright Office and played such a large role in the negotiations that she is considered “the principle </w:t>
      </w:r>
      <w:r w:rsidR="00B855D5">
        <w:t>architect</w:t>
      </w:r>
      <w:r>
        <w:t xml:space="preserve"> of the 1976 Copyright Act.” Judith </w:t>
      </w:r>
      <w:proofErr w:type="spellStart"/>
      <w:r>
        <w:t>Nierman</w:t>
      </w:r>
      <w:proofErr w:type="spellEnd"/>
      <w:r>
        <w:t xml:space="preserve">, </w:t>
      </w:r>
      <w:r w:rsidRPr="00600188">
        <w:rPr>
          <w:i/>
        </w:rPr>
        <w:t>Barbara Ringer 1925 – 2009</w:t>
      </w:r>
      <w:r>
        <w:t xml:space="preserve">, </w:t>
      </w:r>
      <w:r w:rsidRPr="00600188">
        <w:rPr>
          <w:smallCaps/>
        </w:rPr>
        <w:t>Copyright Notices</w:t>
      </w:r>
      <w:r>
        <w:rPr>
          <w:smallCaps/>
        </w:rPr>
        <w:t xml:space="preserve">, </w:t>
      </w:r>
      <w:r>
        <w:t xml:space="preserve">April, 2009, at 2. </w:t>
      </w:r>
    </w:p>
    <w:p w14:paraId="66095A59" w14:textId="77777777" w:rsidR="00410199" w:rsidRPr="00FC5FF6" w:rsidRDefault="00410199" w:rsidP="00410199">
      <w:pPr>
        <w:spacing w:line="480" w:lineRule="auto"/>
        <w:ind w:firstLine="720"/>
        <w:rPr>
          <w:b/>
        </w:rPr>
      </w:pPr>
      <w:r>
        <w:lastRenderedPageBreak/>
        <w:t xml:space="preserve">Our situation is exactly like the situation described by Ringer as an example of when a work is not considered a “work made for hire.” Allowing the episode written by Lime to be considered a “work made for hire” is expressly contrary to the intent of congress because here, the instrument was signed by the parties after the work was written. </w:t>
      </w:r>
    </w:p>
    <w:p w14:paraId="4DAFFF4A" w14:textId="486109CC" w:rsidR="00410199" w:rsidRDefault="00410199" w:rsidP="00410199">
      <w:pPr>
        <w:spacing w:line="480" w:lineRule="auto"/>
        <w:ind w:firstLine="720"/>
        <w:rPr>
          <w:color w:val="1C1C1C"/>
        </w:rPr>
      </w:pPr>
      <w:proofErr w:type="gramStart"/>
      <w:r>
        <w:t>This view of the “work made for hire” doctrine is supported by the Seventh Circuit of the United States Court of Appeals</w:t>
      </w:r>
      <w:proofErr w:type="gramEnd"/>
      <w:r>
        <w:t>, which stated, “The writing must precede the creation of the property in order to serve its purpose of identifying the (non-creator) ow</w:t>
      </w:r>
      <w:r w:rsidR="00227474">
        <w:t>ner unequivocally.” 969 F.2d</w:t>
      </w:r>
      <w:r>
        <w:t xml:space="preserve"> at 412. </w:t>
      </w:r>
      <w:r w:rsidR="005216FB">
        <w:t xml:space="preserve">The Court should grant Defendant’s motion to dismiss based on the legislative history, which shows that Congress intended the writing to precede the creation of the work under 17 U.S.C. § </w:t>
      </w:r>
      <w:r w:rsidR="005216FB" w:rsidRPr="0051364F">
        <w:rPr>
          <w:color w:val="1C1C1C"/>
        </w:rPr>
        <w:t>101.</w:t>
      </w:r>
    </w:p>
    <w:p w14:paraId="14509A7F" w14:textId="53DD01BB" w:rsidR="00D848CF" w:rsidRDefault="00D848CF" w:rsidP="00D75531">
      <w:pPr>
        <w:pStyle w:val="ListParagraph"/>
        <w:numPr>
          <w:ilvl w:val="1"/>
          <w:numId w:val="1"/>
        </w:numPr>
        <w:rPr>
          <w:b/>
        </w:rPr>
      </w:pPr>
      <w:r w:rsidRPr="00D848CF">
        <w:rPr>
          <w:b/>
        </w:rPr>
        <w:t xml:space="preserve">The language of the statute should be strictly construed </w:t>
      </w:r>
      <w:r>
        <w:rPr>
          <w:b/>
        </w:rPr>
        <w:t>to require that the writing to precede creation because the statute</w:t>
      </w:r>
      <w:r w:rsidRPr="00D848CF">
        <w:rPr>
          <w:b/>
        </w:rPr>
        <w:t xml:space="preserve"> represents a carefu</w:t>
      </w:r>
      <w:r w:rsidR="00715335">
        <w:rPr>
          <w:b/>
        </w:rPr>
        <w:t>l compromise to protect the parties</w:t>
      </w:r>
      <w:r w:rsidRPr="00D848CF">
        <w:rPr>
          <w:b/>
        </w:rPr>
        <w:t xml:space="preserve">. </w:t>
      </w:r>
    </w:p>
    <w:p w14:paraId="57B245F9" w14:textId="77777777" w:rsidR="00D75531" w:rsidRPr="00472D4F" w:rsidRDefault="00D75531" w:rsidP="00D75531">
      <w:pPr>
        <w:pStyle w:val="ListParagraph"/>
        <w:ind w:left="1440"/>
        <w:rPr>
          <w:b/>
        </w:rPr>
      </w:pPr>
    </w:p>
    <w:p w14:paraId="05CB47C3" w14:textId="17F3362C" w:rsidR="00472D4F" w:rsidRDefault="00472D4F" w:rsidP="00360894">
      <w:pPr>
        <w:spacing w:line="480" w:lineRule="auto"/>
        <w:ind w:firstLine="360"/>
      </w:pPr>
      <w:r>
        <w:t xml:space="preserve">Congress’s intent </w:t>
      </w:r>
      <w:r w:rsidR="00715335">
        <w:t xml:space="preserve">to protect the interested parties </w:t>
      </w:r>
      <w:r>
        <w:t xml:space="preserve">supports the plain language interpretation of the word “shall.” The language of the statute should be strictly construed because it is the result of “carefully worked out compromise aimed at balancing legitimate interests on both sides.” </w:t>
      </w:r>
      <w:r w:rsidRPr="00FC7C67">
        <w:rPr>
          <w:i/>
        </w:rPr>
        <w:t>Community for Creative Non-Violence v</w:t>
      </w:r>
      <w:r>
        <w:t xml:space="preserve">. </w:t>
      </w:r>
      <w:r w:rsidRPr="00FC7C67">
        <w:rPr>
          <w:i/>
        </w:rPr>
        <w:t>Reid</w:t>
      </w:r>
      <w:r w:rsidR="00FC7C67">
        <w:t>, 490 U.S. 730,</w:t>
      </w:r>
      <w:r>
        <w:t xml:space="preserve"> 749 </w:t>
      </w:r>
      <w:r w:rsidR="00FC7C67">
        <w:t xml:space="preserve">(1989) </w:t>
      </w:r>
      <w:r>
        <w:t xml:space="preserve">(citing H.R.Rep. No. 2237, </w:t>
      </w:r>
      <w:r w:rsidRPr="004C5E5F">
        <w:rPr>
          <w:i/>
        </w:rPr>
        <w:t>supra</w:t>
      </w:r>
      <w:r>
        <w:t xml:space="preserve">, at 114, quoting Supplemental Report, at 66.). </w:t>
      </w:r>
    </w:p>
    <w:p w14:paraId="628CACAD" w14:textId="77777777" w:rsidR="00472D4F" w:rsidRDefault="00472D4F" w:rsidP="00360894">
      <w:pPr>
        <w:spacing w:line="480" w:lineRule="auto"/>
        <w:ind w:firstLine="360"/>
      </w:pPr>
      <w:r>
        <w:t xml:space="preserve">The Copyright Act was amended in 1976 to allow an exception to the general rule that the creator is author and owner of his work. Congress recognized the need for an </w:t>
      </w:r>
      <w:r w:rsidRPr="00142D6B">
        <w:t>exception to the default rule of authorship, but still sought to protect the interests of the creator.</w:t>
      </w:r>
      <w:r>
        <w:t xml:space="preserve"> Nine narrow categories of commissioned works were specified because they represent industries where, “in addition to owning the copyrights in the works by contract, it would be very useful for buyers to </w:t>
      </w:r>
      <w:r>
        <w:lastRenderedPageBreak/>
        <w:t xml:space="preserve">be able to become statutory “authors.” </w:t>
      </w:r>
      <w:r w:rsidRPr="00477BCC">
        <w:rPr>
          <w:i/>
        </w:rPr>
        <w:t>Easter Seal Soc. For Crippled Children and Adults of Louisiana, Inc. v</w:t>
      </w:r>
      <w:r>
        <w:t xml:space="preserve">. </w:t>
      </w:r>
      <w:r w:rsidRPr="00477BCC">
        <w:rPr>
          <w:i/>
        </w:rPr>
        <w:t>Playboy Enterprises</w:t>
      </w:r>
      <w:r>
        <w:t xml:space="preserve">, 815 F.2d 323, 329 (1987). </w:t>
      </w:r>
    </w:p>
    <w:p w14:paraId="65CB156D" w14:textId="313DEE53" w:rsidR="003B4B88" w:rsidRDefault="00472D4F" w:rsidP="00360894">
      <w:pPr>
        <w:spacing w:line="480" w:lineRule="auto"/>
        <w:ind w:firstLine="360"/>
      </w:pPr>
      <w:r>
        <w:t>However, the need to protect the interests of the creators remained a significant concern</w:t>
      </w:r>
      <w:r w:rsidR="00761361">
        <w:t xml:space="preserve"> for Congress. T</w:t>
      </w:r>
      <w:r w:rsidR="00D804F0">
        <w:t xml:space="preserve">he disparity in bargaining power between commissioners and contractors </w:t>
      </w:r>
      <w:r w:rsidR="00173EF5">
        <w:t>is such that freelance authors might lack “the bargaining power to reject contractual clauses designating works as made for hire.” 72 Cornell L.Rev.</w:t>
      </w:r>
      <w:r w:rsidR="000C0FC7">
        <w:t xml:space="preserve"> at</w:t>
      </w:r>
      <w:r w:rsidR="00173EF5">
        <w:t xml:space="preserve"> 890. </w:t>
      </w:r>
    </w:p>
    <w:p w14:paraId="7CD730C6" w14:textId="4AA5CF5F" w:rsidR="00173EF5" w:rsidRDefault="003B4B88" w:rsidP="00360894">
      <w:pPr>
        <w:spacing w:line="480" w:lineRule="auto"/>
        <w:ind w:firstLine="360"/>
      </w:pPr>
      <w:r>
        <w:t xml:space="preserve">If the agreement could be made after creation, the artist may be forced to accept worse conditions in order to receive any compensation, having already spent time and energy on the project. </w:t>
      </w:r>
      <w:r w:rsidR="00965080">
        <w:t xml:space="preserve">By requiring that the written agreement come before the </w:t>
      </w:r>
      <w:r>
        <w:t xml:space="preserve">creation of the work, the artist is in a more powerful position. Therefore, if the writing must precede the creation, the disparity in bargaining power is less pronounced, </w:t>
      </w:r>
      <w:r w:rsidR="006953EF">
        <w:t>and</w:t>
      </w:r>
      <w:r>
        <w:t xml:space="preserve"> the commissioner is still able obtain authorship of the work. </w:t>
      </w:r>
    </w:p>
    <w:p w14:paraId="51460219" w14:textId="4A3EE433" w:rsidR="00472D4F" w:rsidRPr="00472D4F" w:rsidRDefault="00173EF5" w:rsidP="006249F3">
      <w:pPr>
        <w:spacing w:line="480" w:lineRule="auto"/>
        <w:ind w:firstLine="360"/>
        <w:rPr>
          <w:rFonts w:asciiTheme="minorHAnsi" w:eastAsiaTheme="minorHAnsi" w:hAnsiTheme="minorHAnsi" w:cstheme="minorBidi"/>
          <w:b/>
          <w:sz w:val="16"/>
          <w:szCs w:val="16"/>
        </w:rPr>
      </w:pPr>
      <w:r>
        <w:t>17 U.S.C.</w:t>
      </w:r>
      <w:r w:rsidRPr="00173EF5">
        <w:t xml:space="preserve"> </w:t>
      </w:r>
      <w:r>
        <w:t>§ 1</w:t>
      </w:r>
      <w:r w:rsidRPr="006E19A0">
        <w:t>01</w:t>
      </w:r>
      <w:r>
        <w:t xml:space="preserve"> should be construed to require the writing to precede creation because only a strict interpretation of the statute preserves the balance of power between the parties. In the interest of maintaining the compromise reached between the parties, the Court should grant Defendant’s motion to dismiss. </w:t>
      </w:r>
    </w:p>
    <w:p w14:paraId="6B246D92" w14:textId="1A5A8667" w:rsidR="0011469C" w:rsidRDefault="005F5A3B" w:rsidP="00472D4F">
      <w:pPr>
        <w:pStyle w:val="ListParagraph"/>
        <w:numPr>
          <w:ilvl w:val="0"/>
          <w:numId w:val="1"/>
        </w:numPr>
        <w:rPr>
          <w:b/>
        </w:rPr>
      </w:pPr>
      <w:r w:rsidRPr="00AA6DB0">
        <w:rPr>
          <w:b/>
        </w:rPr>
        <w:t xml:space="preserve">Transfer of </w:t>
      </w:r>
      <w:r w:rsidR="006E19A0" w:rsidRPr="00AA6DB0">
        <w:rPr>
          <w:b/>
        </w:rPr>
        <w:t>ownership</w:t>
      </w:r>
      <w:r w:rsidRPr="00AA6DB0">
        <w:rPr>
          <w:b/>
        </w:rPr>
        <w:t xml:space="preserve"> is established under </w:t>
      </w:r>
      <w:r w:rsidR="006E19A0" w:rsidRPr="00AA6DB0">
        <w:rPr>
          <w:b/>
        </w:rPr>
        <w:t xml:space="preserve">17 U.S.C. § 201(d), which would be inconsistent with </w:t>
      </w:r>
      <w:r w:rsidR="00EC28DF">
        <w:rPr>
          <w:b/>
        </w:rPr>
        <w:t>“</w:t>
      </w:r>
      <w:r w:rsidR="006E19A0" w:rsidRPr="00AA6DB0">
        <w:rPr>
          <w:b/>
        </w:rPr>
        <w:t>works made for hire</w:t>
      </w:r>
      <w:r w:rsidR="00EC28DF">
        <w:rPr>
          <w:b/>
        </w:rPr>
        <w:t>”</w:t>
      </w:r>
      <w:r w:rsidR="006E19A0" w:rsidRPr="00AA6DB0">
        <w:rPr>
          <w:b/>
        </w:rPr>
        <w:t xml:space="preserve"> under 17 U.S.C. § 201(b) if work for hire agreements could be made after the creation of the work.</w:t>
      </w:r>
    </w:p>
    <w:p w14:paraId="24038160" w14:textId="77777777" w:rsidR="00472D4F" w:rsidRPr="00AA6DB0" w:rsidRDefault="00472D4F" w:rsidP="00472D4F">
      <w:pPr>
        <w:pStyle w:val="ListParagraph"/>
        <w:ind w:left="1080"/>
        <w:rPr>
          <w:b/>
        </w:rPr>
      </w:pPr>
    </w:p>
    <w:p w14:paraId="7CD0CB74" w14:textId="42CD453A" w:rsidR="00A94A78" w:rsidRPr="00AA6DB0" w:rsidRDefault="00CD3845" w:rsidP="00A94A78">
      <w:pPr>
        <w:spacing w:line="480" w:lineRule="auto"/>
        <w:ind w:firstLine="360"/>
        <w:rPr>
          <w:color w:val="252525"/>
        </w:rPr>
      </w:pPr>
      <w:r>
        <w:t xml:space="preserve">According to the Supreme Court of the United States, </w:t>
      </w:r>
      <w:r w:rsidR="0011469C">
        <w:t xml:space="preserve">“It is our duty to give effect, if possible, to every clause and word of a statute.” </w:t>
      </w:r>
      <w:hyperlink r:id="rId9" w:history="1">
        <w:r>
          <w:rPr>
            <w:rStyle w:val="Emphasis"/>
            <w:bCs/>
            <w:color w:val="252525"/>
          </w:rPr>
          <w:t>Dun</w:t>
        </w:r>
        <w:r w:rsidRPr="00CD3845">
          <w:rPr>
            <w:rStyle w:val="Emphasis"/>
            <w:bCs/>
            <w:color w:val="252525"/>
          </w:rPr>
          <w:t>can v. Walker,</w:t>
        </w:r>
        <w:r>
          <w:rPr>
            <w:rStyle w:val="cosearchterm1"/>
            <w:b w:val="0"/>
          </w:rPr>
          <w:t xml:space="preserve"> 533 U.S. 167,</w:t>
        </w:r>
        <w:r w:rsidRPr="00CD3845">
          <w:rPr>
            <w:rStyle w:val="cosearchterm1"/>
            <w:b w:val="0"/>
          </w:rPr>
          <w:t xml:space="preserve"> </w:t>
        </w:r>
        <w:r w:rsidR="00E82353">
          <w:rPr>
            <w:rStyle w:val="cosearchterm1"/>
            <w:b w:val="0"/>
          </w:rPr>
          <w:t xml:space="preserve">175 </w:t>
        </w:r>
        <w:r w:rsidR="00A94A78">
          <w:rPr>
            <w:rStyle w:val="cosearchterm1"/>
            <w:b w:val="0"/>
          </w:rPr>
          <w:t>(2001).</w:t>
        </w:r>
      </w:hyperlink>
      <w:r w:rsidR="00A94A78">
        <w:rPr>
          <w:b/>
          <w:color w:val="252525"/>
        </w:rPr>
        <w:t xml:space="preserve"> </w:t>
      </w:r>
      <w:r w:rsidR="00AA6DB0">
        <w:rPr>
          <w:color w:val="252525"/>
        </w:rPr>
        <w:t xml:space="preserve">In addition, when the plain meaning of the statute is unclear, the Court should, “seek guidance in the statutory structure.” </w:t>
      </w:r>
      <w:r w:rsidR="00227474" w:rsidRPr="00CF0567">
        <w:rPr>
          <w:i/>
        </w:rPr>
        <w:t>Florida Power &amp; Light Co.</w:t>
      </w:r>
      <w:r w:rsidR="00227474" w:rsidRPr="00227474">
        <w:t>,</w:t>
      </w:r>
      <w:r w:rsidR="00227474">
        <w:rPr>
          <w:i/>
        </w:rPr>
        <w:t xml:space="preserve"> </w:t>
      </w:r>
      <w:r w:rsidR="00227474">
        <w:t>470 U.S.</w:t>
      </w:r>
      <w:r w:rsidR="00AA6DB0">
        <w:t xml:space="preserve"> at 737. </w:t>
      </w:r>
    </w:p>
    <w:p w14:paraId="5D95F7BD" w14:textId="794681C6" w:rsidR="00A94A78" w:rsidRDefault="00EC28DF" w:rsidP="00A94A78">
      <w:pPr>
        <w:spacing w:line="480" w:lineRule="auto"/>
        <w:ind w:firstLine="360"/>
      </w:pPr>
      <w:r>
        <w:rPr>
          <w:color w:val="252525"/>
        </w:rPr>
        <w:lastRenderedPageBreak/>
        <w:t xml:space="preserve">If “work made for </w:t>
      </w:r>
      <w:r w:rsidR="00A94A78">
        <w:rPr>
          <w:color w:val="252525"/>
        </w:rPr>
        <w:t>hire</w:t>
      </w:r>
      <w:r>
        <w:rPr>
          <w:color w:val="252525"/>
        </w:rPr>
        <w:t>”</w:t>
      </w:r>
      <w:r w:rsidR="00A94A78">
        <w:rPr>
          <w:color w:val="252525"/>
        </w:rPr>
        <w:t xml:space="preserve"> agreements may be made after the creation of the work, the transfer of ownership provision would be merely superfluous. </w:t>
      </w:r>
      <w:r w:rsidR="006E19A0" w:rsidRPr="006E19A0">
        <w:t>17 U.S.C. § 201(d)</w:t>
      </w:r>
      <w:r w:rsidR="006E19A0">
        <w:t xml:space="preserve"> </w:t>
      </w:r>
      <w:r w:rsidR="006E19A0" w:rsidRPr="006E19A0">
        <w:t xml:space="preserve">provides: </w:t>
      </w:r>
    </w:p>
    <w:p w14:paraId="23515AC4" w14:textId="3372493E" w:rsidR="00A94A78" w:rsidRDefault="006A45B1" w:rsidP="00A94A78">
      <w:pPr>
        <w:ind w:left="360"/>
        <w:rPr>
          <w:color w:val="1C1C1C"/>
        </w:rPr>
      </w:pPr>
      <w:r>
        <w:rPr>
          <w:color w:val="1C1C1C"/>
        </w:rPr>
        <w:t xml:space="preserve">(1) </w:t>
      </w:r>
      <w:r w:rsidR="006E19A0" w:rsidRPr="00A94A78">
        <w:rPr>
          <w:color w:val="1C1C1C"/>
        </w:rPr>
        <w:t>The ownership of a copyright may be transferred in whole or in part by any means of conveyance or by operation of law, and may be bequeathed by will or pass as personal property by the applicable laws of intestate succession.</w:t>
      </w:r>
      <w:r w:rsidR="006E19A0" w:rsidRPr="00A94A78">
        <w:rPr>
          <w:bCs/>
          <w:color w:val="1C1C1C"/>
        </w:rPr>
        <w:t xml:space="preserve"> (2)</w:t>
      </w:r>
      <w:r w:rsidR="006E19A0" w:rsidRPr="00A94A78">
        <w:rPr>
          <w:color w:val="1C1C1C"/>
        </w:rPr>
        <w:t xml:space="preserve"> Any of the exclusive rights comprised in a copyright, including any subdivision of any of the rights </w:t>
      </w:r>
      <w:r w:rsidR="006E19A0" w:rsidRPr="006E19A0">
        <w:t xml:space="preserve">specified by </w:t>
      </w:r>
      <w:hyperlink r:id="rId10" w:history="1">
        <w:r w:rsidR="006E19A0" w:rsidRPr="006E19A0">
          <w:t>section 106</w:t>
        </w:r>
      </w:hyperlink>
      <w:r w:rsidR="006E19A0" w:rsidRPr="006E19A0">
        <w:t>, may</w:t>
      </w:r>
      <w:r w:rsidR="006E19A0" w:rsidRPr="00A94A78">
        <w:rPr>
          <w:color w:val="1C1C1C"/>
        </w:rPr>
        <w:t xml:space="preserve"> be transferred as provided by clause (1) and owned separately. The owner of any particular exclusive right is entitled, to the extent of that right, to all of the protection and remedies accorded to the copyright owner by this title. </w:t>
      </w:r>
    </w:p>
    <w:p w14:paraId="21C8C09D" w14:textId="77777777" w:rsidR="00A94A78" w:rsidRDefault="00A94A78" w:rsidP="00A94A78">
      <w:pPr>
        <w:ind w:left="360"/>
        <w:rPr>
          <w:color w:val="1C1C1C"/>
        </w:rPr>
      </w:pPr>
    </w:p>
    <w:p w14:paraId="7A504475" w14:textId="2A15BE8C" w:rsidR="0057683A" w:rsidRDefault="006A45B1" w:rsidP="0057683A">
      <w:pPr>
        <w:spacing w:line="480" w:lineRule="auto"/>
        <w:ind w:firstLine="360"/>
      </w:pPr>
      <w:r>
        <w:t>Through 17 U.S.C.</w:t>
      </w:r>
      <w:r w:rsidRPr="006A45B1">
        <w:t xml:space="preserve"> </w:t>
      </w:r>
      <w:r w:rsidRPr="006E19A0">
        <w:t>§ 201(d)</w:t>
      </w:r>
      <w:r>
        <w:t xml:space="preserve">, the Plaintiff could have contracted to purchase “any of the exclusive rights comprised in a copyright” of the episode from Lime after its creation. </w:t>
      </w:r>
      <w:r w:rsidRPr="0057683A">
        <w:t xml:space="preserve">This shows that </w:t>
      </w:r>
      <w:r w:rsidR="004E2F99" w:rsidRPr="0057683A">
        <w:t xml:space="preserve">allowing </w:t>
      </w:r>
      <w:r w:rsidRPr="0057683A">
        <w:t xml:space="preserve">a </w:t>
      </w:r>
      <w:r w:rsidR="00EC28DF">
        <w:t>“</w:t>
      </w:r>
      <w:r w:rsidRPr="0057683A">
        <w:t>work made for hire</w:t>
      </w:r>
      <w:r w:rsidR="00EC28DF">
        <w:t>”</w:t>
      </w:r>
      <w:r w:rsidRPr="0057683A">
        <w:t xml:space="preserve"> agreement </w:t>
      </w:r>
      <w:r w:rsidR="004E2F99" w:rsidRPr="0057683A">
        <w:t xml:space="preserve">after the creation of a work is not necessary. </w:t>
      </w:r>
      <w:r w:rsidR="0057683A" w:rsidRPr="0057683A">
        <w:t>The Supreme Court has often expressed its reluctance “to treat statutory</w:t>
      </w:r>
      <w:r w:rsidR="0057683A">
        <w:t xml:space="preserve"> terms as </w:t>
      </w:r>
      <w:proofErr w:type="spellStart"/>
      <w:r w:rsidR="0057683A" w:rsidRPr="0057683A">
        <w:t>surplusage</w:t>
      </w:r>
      <w:proofErr w:type="spellEnd"/>
      <w:r w:rsidR="0057683A" w:rsidRPr="0057683A">
        <w:t xml:space="preserve"> in any setting.” </w:t>
      </w:r>
      <w:r w:rsidR="0057683A" w:rsidRPr="0057683A">
        <w:rPr>
          <w:i/>
        </w:rPr>
        <w:t>Duncan v</w:t>
      </w:r>
      <w:r w:rsidR="0057683A" w:rsidRPr="0057683A">
        <w:t xml:space="preserve">. </w:t>
      </w:r>
      <w:r w:rsidR="0057683A" w:rsidRPr="0057683A">
        <w:rPr>
          <w:i/>
        </w:rPr>
        <w:t>Walker</w:t>
      </w:r>
      <w:r w:rsidR="0057683A" w:rsidRPr="0057683A">
        <w:t xml:space="preserve">, 533 U.S. 167 (2001) (Citing </w:t>
      </w:r>
      <w:r w:rsidR="0057683A" w:rsidRPr="0057683A">
        <w:rPr>
          <w:i/>
          <w:iCs/>
        </w:rPr>
        <w:t xml:space="preserve">Babbitt v. Sweet Home Chapter, Communities for Great Ore., </w:t>
      </w:r>
      <w:r w:rsidR="0057683A">
        <w:t xml:space="preserve">515 U.S. 687, 698 </w:t>
      </w:r>
      <w:r w:rsidR="0057683A" w:rsidRPr="0057683A">
        <w:t>(1995)</w:t>
      </w:r>
      <w:r w:rsidR="0057683A">
        <w:t>)</w:t>
      </w:r>
      <w:r w:rsidR="0057683A" w:rsidRPr="0057683A">
        <w:t xml:space="preserve">. </w:t>
      </w:r>
      <w:r w:rsidR="0057683A">
        <w:t xml:space="preserve">And has also stated that </w:t>
      </w:r>
      <w:r w:rsidR="0057683A" w:rsidRPr="0057683A">
        <w:t xml:space="preserve">“It is our duty ‘to give effect, if possible, to every clause and word of a statute.’” </w:t>
      </w:r>
      <w:r w:rsidR="0057683A" w:rsidRPr="0057683A">
        <w:rPr>
          <w:i/>
          <w:iCs/>
        </w:rPr>
        <w:t xml:space="preserve">United States v. </w:t>
      </w:r>
      <w:proofErr w:type="spellStart"/>
      <w:r w:rsidR="0057683A" w:rsidRPr="0057683A">
        <w:rPr>
          <w:i/>
          <w:iCs/>
        </w:rPr>
        <w:t>Menasche</w:t>
      </w:r>
      <w:proofErr w:type="spellEnd"/>
      <w:r w:rsidR="0057683A" w:rsidRPr="0057683A">
        <w:rPr>
          <w:i/>
          <w:iCs/>
        </w:rPr>
        <w:t>,</w:t>
      </w:r>
      <w:r w:rsidR="0057683A" w:rsidRPr="0057683A">
        <w:t xml:space="preserve"> 348 U.S. 528</w:t>
      </w:r>
      <w:r w:rsidR="0057683A">
        <w:t>, 538-</w:t>
      </w:r>
      <w:r w:rsidR="0057683A" w:rsidRPr="0057683A">
        <w:t xml:space="preserve">539, (1955). </w:t>
      </w:r>
    </w:p>
    <w:p w14:paraId="769BB9BA" w14:textId="77777777" w:rsidR="0057683A" w:rsidRDefault="0057683A" w:rsidP="0057683A">
      <w:pPr>
        <w:spacing w:line="480" w:lineRule="auto"/>
        <w:ind w:firstLine="360"/>
      </w:pPr>
      <w:r w:rsidRPr="0057683A">
        <w:t>If the “work made for hire” provision includes agreements made between commissioners and artists after the creation of a work, there would be no need for §201(d). In order to protect the integrity of the Copyright Act</w:t>
      </w:r>
      <w:r>
        <w:t xml:space="preserve"> in its entirety and avoid </w:t>
      </w:r>
      <w:proofErr w:type="spellStart"/>
      <w:r>
        <w:t>surplusage</w:t>
      </w:r>
      <w:proofErr w:type="spellEnd"/>
      <w:r>
        <w:t xml:space="preserve">, the court should hold that </w:t>
      </w:r>
      <w:proofErr w:type="gramStart"/>
      <w:r>
        <w:t>a written “work made for hire” agreement must be signed by the parties prior to the creation of the work in question</w:t>
      </w:r>
      <w:proofErr w:type="gramEnd"/>
      <w:r>
        <w:t>.</w:t>
      </w:r>
    </w:p>
    <w:p w14:paraId="308FFD68" w14:textId="63A766DF" w:rsidR="00412810" w:rsidRPr="00EC28DF" w:rsidRDefault="00412810" w:rsidP="00EC28DF">
      <w:pPr>
        <w:pStyle w:val="ListParagraph"/>
        <w:numPr>
          <w:ilvl w:val="0"/>
          <w:numId w:val="1"/>
        </w:numPr>
        <w:rPr>
          <w:b/>
        </w:rPr>
      </w:pPr>
      <w:r w:rsidRPr="00412810">
        <w:rPr>
          <w:b/>
        </w:rPr>
        <w:t xml:space="preserve">The case law </w:t>
      </w:r>
      <w:r w:rsidR="00EC28DF">
        <w:rPr>
          <w:b/>
        </w:rPr>
        <w:t xml:space="preserve">demonstrates that the writing must precede the creation of the work to satisfy the requirements under </w:t>
      </w:r>
      <w:r w:rsidR="00EC28DF" w:rsidRPr="00EC28DF">
        <w:rPr>
          <w:b/>
        </w:rPr>
        <w:t xml:space="preserve">17 U.S.C. </w:t>
      </w:r>
      <w:r w:rsidR="00562A4F" w:rsidRPr="00EC28DF">
        <w:rPr>
          <w:b/>
        </w:rPr>
        <w:t xml:space="preserve"> </w:t>
      </w:r>
      <w:r w:rsidR="00EC28DF" w:rsidRPr="00EC28DF">
        <w:rPr>
          <w:b/>
        </w:rPr>
        <w:t>§ 101.</w:t>
      </w:r>
      <w:r w:rsidR="00EC28DF">
        <w:t xml:space="preserve"> </w:t>
      </w:r>
    </w:p>
    <w:p w14:paraId="28225C98" w14:textId="77777777" w:rsidR="00EC28DF" w:rsidRPr="00EC28DF" w:rsidRDefault="00EC28DF" w:rsidP="00EC28DF">
      <w:pPr>
        <w:ind w:left="360"/>
        <w:rPr>
          <w:b/>
        </w:rPr>
      </w:pPr>
    </w:p>
    <w:p w14:paraId="5E8D4026" w14:textId="4231B623" w:rsidR="00412810" w:rsidRDefault="00EC28DF" w:rsidP="00EC28DF">
      <w:pPr>
        <w:spacing w:line="480" w:lineRule="auto"/>
        <w:ind w:firstLine="360"/>
      </w:pPr>
      <w:r>
        <w:t xml:space="preserve">In order to adhere to the purpose of the “work made for hire” provisions as established by the Supreme Court, the writing must precede the creation of the work. </w:t>
      </w:r>
      <w:r w:rsidR="00075BD8">
        <w:t xml:space="preserve">The Supreme Court rejected the construction of the “work made for hire” provisions that would impede Congress’ goal of </w:t>
      </w:r>
      <w:r w:rsidR="00075BD8">
        <w:lastRenderedPageBreak/>
        <w:t xml:space="preserve">“enhancing predictability and certainty.” 490 U.S. at 749. and “the writing must precede the creation of the property in order to serve its purpose of identifying the (non-creator) owner unequivocally. </w:t>
      </w:r>
    </w:p>
    <w:p w14:paraId="08253A61" w14:textId="4294EF73" w:rsidR="00075BD8" w:rsidRPr="00412810" w:rsidRDefault="00075BD8" w:rsidP="00EC28DF">
      <w:pPr>
        <w:spacing w:line="480" w:lineRule="auto"/>
        <w:ind w:firstLine="360"/>
      </w:pPr>
      <w:r>
        <w:t xml:space="preserve">In addition, </w:t>
      </w:r>
      <w:r w:rsidR="00A35D16">
        <w:t>several</w:t>
      </w:r>
      <w:r>
        <w:t xml:space="preserve"> Courts advocate “bright-line” rules when it comes to determining whether a work was made for hire under the Copyright Act of 1976. Easter Seal Soc. for Crippled Children and Adults of </w:t>
      </w:r>
      <w:proofErr w:type="spellStart"/>
      <w:r>
        <w:t>Lousiana</w:t>
      </w:r>
      <w:proofErr w:type="spellEnd"/>
      <w:r>
        <w:t xml:space="preserve">, Inc. v. Playboy Enterprises, 815 F.2d 323, </w:t>
      </w:r>
      <w:r w:rsidR="00A35D16">
        <w:t>337 (1987). 490 U.S. at 750.</w:t>
      </w:r>
    </w:p>
    <w:p w14:paraId="296C63BB" w14:textId="3E3AB49B" w:rsidR="00062F02" w:rsidRPr="00062F02" w:rsidRDefault="00062F02" w:rsidP="00062F02">
      <w:pPr>
        <w:spacing w:line="480" w:lineRule="auto"/>
        <w:ind w:firstLine="360"/>
        <w:jc w:val="center"/>
        <w:rPr>
          <w:b/>
          <w:u w:val="single"/>
        </w:rPr>
      </w:pPr>
      <w:r w:rsidRPr="00062F02">
        <w:rPr>
          <w:b/>
          <w:u w:val="single"/>
        </w:rPr>
        <w:t>CONCLUSION</w:t>
      </w:r>
    </w:p>
    <w:p w14:paraId="42C7A4D2" w14:textId="3DAD6C6F" w:rsidR="00BB6F19" w:rsidRDefault="00DF43EE" w:rsidP="00062F02">
      <w:pPr>
        <w:spacing w:line="480" w:lineRule="auto"/>
      </w:pPr>
      <w:r>
        <w:tab/>
        <w:t xml:space="preserve">The court should dismiss Plaintiff’s claim under 17 U.S.C. § 201. The Plaintiff is not the author of the work entitled “Anticipatory Repudiation” because the agreement between the parties does not satisfy the statutory requirements. 17 U.S.C. § 101 requires that the writing precede the creation of the work. The Court should grant Defendant’s motion to dismiss. </w:t>
      </w:r>
    </w:p>
    <w:p w14:paraId="356D53FC" w14:textId="77777777" w:rsidR="00DF43EE" w:rsidRPr="00062F02" w:rsidRDefault="00DF43EE" w:rsidP="00062F02">
      <w:pPr>
        <w:spacing w:line="480" w:lineRule="auto"/>
      </w:pPr>
    </w:p>
    <w:p w14:paraId="6D2F7692" w14:textId="00F14ABA" w:rsidR="00062F02" w:rsidRDefault="00062F02" w:rsidP="00062F02">
      <w:pPr>
        <w:rPr>
          <w:u w:val="single"/>
        </w:rPr>
      </w:pPr>
      <w:r w:rsidRPr="00062F02">
        <w:t xml:space="preserve">Dated </w:t>
      </w:r>
      <w:r w:rsidRPr="00DF43EE">
        <w:rPr>
          <w:u w:val="single"/>
        </w:rPr>
        <w:t>March 22, 2012</w:t>
      </w:r>
    </w:p>
    <w:p w14:paraId="57EA51CA" w14:textId="77777777" w:rsidR="00DF43EE" w:rsidRPr="00062F02" w:rsidRDefault="00DF43EE" w:rsidP="00062F02"/>
    <w:p w14:paraId="43CC762C" w14:textId="1EDD99ED" w:rsidR="00062F02" w:rsidRPr="00062F02" w:rsidRDefault="00062F02" w:rsidP="00062F02">
      <w:r w:rsidRPr="00062F02">
        <w:tab/>
      </w:r>
      <w:r w:rsidRPr="00062F02">
        <w:tab/>
      </w:r>
      <w:r w:rsidRPr="00062F02">
        <w:tab/>
      </w:r>
      <w:r w:rsidRPr="00062F02">
        <w:tab/>
        <w:t>_________________</w:t>
      </w:r>
    </w:p>
    <w:p w14:paraId="3DC0CAF0" w14:textId="4DBF00D7" w:rsidR="00BB6F19" w:rsidRPr="00DF43EE" w:rsidRDefault="00062F02" w:rsidP="004E07F8">
      <w:pPr>
        <w:ind w:firstLine="360"/>
        <w:rPr>
          <w:i/>
        </w:rPr>
      </w:pPr>
      <w:r>
        <w:tab/>
      </w:r>
      <w:r>
        <w:tab/>
      </w:r>
      <w:r>
        <w:tab/>
      </w:r>
      <w:r>
        <w:tab/>
      </w:r>
      <w:r w:rsidR="004E07F8">
        <w:rPr>
          <w:rFonts w:eastAsia="Times New Roman"/>
        </w:rPr>
        <w:t>&lt;</w:t>
      </w:r>
      <w:proofErr w:type="gramStart"/>
      <w:r w:rsidR="004E07F8">
        <w:rPr>
          <w:rFonts w:eastAsia="Times New Roman"/>
        </w:rPr>
        <w:t>redacted</w:t>
      </w:r>
      <w:proofErr w:type="gramEnd"/>
      <w:r w:rsidR="004E07F8">
        <w:rPr>
          <w:rFonts w:eastAsia="Times New Roman"/>
        </w:rPr>
        <w:t>&gt;&lt;/redacted&gt;</w:t>
      </w:r>
      <w:r w:rsidR="00DF43EE">
        <w:tab/>
      </w:r>
      <w:r w:rsidR="00DF43EE">
        <w:tab/>
      </w:r>
      <w:r w:rsidR="00DF43EE">
        <w:tab/>
      </w:r>
      <w:r w:rsidR="00DF43EE">
        <w:tab/>
      </w:r>
      <w:r w:rsidR="00DF43EE" w:rsidRPr="00DF43EE">
        <w:rPr>
          <w:i/>
        </w:rPr>
        <w:t>Attorney for Defendants</w:t>
      </w:r>
    </w:p>
    <w:p w14:paraId="74764944" w14:textId="77777777" w:rsidR="00DF43EE" w:rsidRDefault="00DF43EE" w:rsidP="00BB6F19">
      <w:pPr>
        <w:spacing w:line="480" w:lineRule="auto"/>
        <w:ind w:firstLine="360"/>
      </w:pPr>
      <w:bookmarkStart w:id="0" w:name="_GoBack"/>
      <w:bookmarkEnd w:id="0"/>
    </w:p>
    <w:p w14:paraId="3D41A6D4" w14:textId="4C528DC4" w:rsidR="00074C81" w:rsidRPr="00AA6DB0" w:rsidRDefault="00074C81" w:rsidP="00CD65DE">
      <w:pPr>
        <w:spacing w:line="480" w:lineRule="auto"/>
      </w:pPr>
    </w:p>
    <w:sectPr w:rsidR="00074C81" w:rsidRPr="00AA6DB0" w:rsidSect="0057683A">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9D4F7A" w14:textId="77777777" w:rsidR="00075BD8" w:rsidRDefault="00075BD8" w:rsidP="00FD065A">
      <w:r>
        <w:separator/>
      </w:r>
    </w:p>
  </w:endnote>
  <w:endnote w:type="continuationSeparator" w:id="0">
    <w:p w14:paraId="65C6E251" w14:textId="77777777" w:rsidR="00075BD8" w:rsidRDefault="00075BD8" w:rsidP="00FD0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6675296"/>
      <w:docPartObj>
        <w:docPartGallery w:val="Page Numbers (Bottom of Page)"/>
        <w:docPartUnique/>
      </w:docPartObj>
    </w:sdtPr>
    <w:sdtEndPr>
      <w:rPr>
        <w:noProof/>
      </w:rPr>
    </w:sdtEndPr>
    <w:sdtContent>
      <w:p w14:paraId="0A2EA6C3" w14:textId="7DD46CB6" w:rsidR="00075BD8" w:rsidRDefault="00075BD8" w:rsidP="00D43746">
        <w:pPr>
          <w:pStyle w:val="Footer"/>
          <w:jc w:val="center"/>
        </w:pPr>
        <w:r>
          <w:fldChar w:fldCharType="begin"/>
        </w:r>
        <w:r>
          <w:instrText xml:space="preserve"> PAGE   \* MERGEFORMAT </w:instrText>
        </w:r>
        <w:r>
          <w:fldChar w:fldCharType="separate"/>
        </w:r>
        <w:r w:rsidR="004E07F8">
          <w:rPr>
            <w:noProof/>
          </w:rPr>
          <w:t>11</w:t>
        </w:r>
        <w:r>
          <w:rPr>
            <w:noProof/>
          </w:rPr>
          <w:fldChar w:fldCharType="end"/>
        </w:r>
      </w:p>
    </w:sdtContent>
  </w:sdt>
  <w:p w14:paraId="0680A10B" w14:textId="53129017" w:rsidR="00075BD8" w:rsidRDefault="00075BD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2A9416" w14:textId="77777777" w:rsidR="00075BD8" w:rsidRDefault="00075BD8" w:rsidP="00FD065A">
      <w:r>
        <w:separator/>
      </w:r>
    </w:p>
  </w:footnote>
  <w:footnote w:type="continuationSeparator" w:id="0">
    <w:p w14:paraId="020C8FA2" w14:textId="77777777" w:rsidR="00075BD8" w:rsidRDefault="00075BD8" w:rsidP="00FD065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C10B6"/>
    <w:multiLevelType w:val="hybridMultilevel"/>
    <w:tmpl w:val="B90EBBE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AB020F3"/>
    <w:multiLevelType w:val="hybridMultilevel"/>
    <w:tmpl w:val="CF6ACF08"/>
    <w:lvl w:ilvl="0" w:tplc="EE6890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8F22550"/>
    <w:multiLevelType w:val="hybridMultilevel"/>
    <w:tmpl w:val="31060674"/>
    <w:lvl w:ilvl="0" w:tplc="50261CB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3973EB"/>
    <w:multiLevelType w:val="hybridMultilevel"/>
    <w:tmpl w:val="1D769F08"/>
    <w:lvl w:ilvl="0" w:tplc="779624DA">
      <w:start w:val="3"/>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2CAC1059"/>
    <w:multiLevelType w:val="hybridMultilevel"/>
    <w:tmpl w:val="11180A3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34AA1AFF"/>
    <w:multiLevelType w:val="hybridMultilevel"/>
    <w:tmpl w:val="D67E263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36ED723F"/>
    <w:multiLevelType w:val="hybridMultilevel"/>
    <w:tmpl w:val="40324B7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41D41784"/>
    <w:multiLevelType w:val="hybridMultilevel"/>
    <w:tmpl w:val="E0220F20"/>
    <w:lvl w:ilvl="0" w:tplc="988221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4212DE0"/>
    <w:multiLevelType w:val="hybridMultilevel"/>
    <w:tmpl w:val="3446EE7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548363A5"/>
    <w:multiLevelType w:val="hybridMultilevel"/>
    <w:tmpl w:val="2A30BF44"/>
    <w:lvl w:ilvl="0" w:tplc="DA464180">
      <w:start w:val="1"/>
      <w:numFmt w:val="decimal"/>
      <w:lvlText w:val="(%1)"/>
      <w:lvlJc w:val="left"/>
      <w:pPr>
        <w:ind w:left="1080" w:hanging="360"/>
      </w:pPr>
      <w:rPr>
        <w:rFonts w:hint="default"/>
        <w:color w:val="1C1C1C"/>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36F71F4"/>
    <w:multiLevelType w:val="hybridMultilevel"/>
    <w:tmpl w:val="BA221AD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660D583E"/>
    <w:multiLevelType w:val="hybridMultilevel"/>
    <w:tmpl w:val="071AC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8095FBB"/>
    <w:multiLevelType w:val="hybridMultilevel"/>
    <w:tmpl w:val="B20A95C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7A9B627F"/>
    <w:multiLevelType w:val="hybridMultilevel"/>
    <w:tmpl w:val="D2E40D0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2"/>
  </w:num>
  <w:num w:numId="2">
    <w:abstractNumId w:val="10"/>
  </w:num>
  <w:num w:numId="3">
    <w:abstractNumId w:val="13"/>
  </w:num>
  <w:num w:numId="4">
    <w:abstractNumId w:val="12"/>
  </w:num>
  <w:num w:numId="5">
    <w:abstractNumId w:val="4"/>
  </w:num>
  <w:num w:numId="6">
    <w:abstractNumId w:val="5"/>
  </w:num>
  <w:num w:numId="7">
    <w:abstractNumId w:val="8"/>
  </w:num>
  <w:num w:numId="8">
    <w:abstractNumId w:val="6"/>
  </w:num>
  <w:num w:numId="9">
    <w:abstractNumId w:val="7"/>
  </w:num>
  <w:num w:numId="10">
    <w:abstractNumId w:val="9"/>
  </w:num>
  <w:num w:numId="11">
    <w:abstractNumId w:val="3"/>
  </w:num>
  <w:num w:numId="12">
    <w:abstractNumId w:val="1"/>
  </w:num>
  <w:num w:numId="13">
    <w:abstractNumId w:val="1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FE8"/>
    <w:rsid w:val="0004043C"/>
    <w:rsid w:val="00045221"/>
    <w:rsid w:val="00045535"/>
    <w:rsid w:val="00046356"/>
    <w:rsid w:val="00057134"/>
    <w:rsid w:val="00057D64"/>
    <w:rsid w:val="00062F02"/>
    <w:rsid w:val="00074C81"/>
    <w:rsid w:val="00075BD8"/>
    <w:rsid w:val="00082D85"/>
    <w:rsid w:val="000A347B"/>
    <w:rsid w:val="000B1FB5"/>
    <w:rsid w:val="000C0FC7"/>
    <w:rsid w:val="000F03DE"/>
    <w:rsid w:val="001123B3"/>
    <w:rsid w:val="0011469C"/>
    <w:rsid w:val="00142D6B"/>
    <w:rsid w:val="00155470"/>
    <w:rsid w:val="0017065E"/>
    <w:rsid w:val="00171D72"/>
    <w:rsid w:val="00173EF5"/>
    <w:rsid w:val="001C2356"/>
    <w:rsid w:val="001C4EDA"/>
    <w:rsid w:val="001D5850"/>
    <w:rsid w:val="001F00E9"/>
    <w:rsid w:val="001F77C2"/>
    <w:rsid w:val="00215DB9"/>
    <w:rsid w:val="0022219C"/>
    <w:rsid w:val="00227474"/>
    <w:rsid w:val="00234E39"/>
    <w:rsid w:val="00235AAD"/>
    <w:rsid w:val="00240511"/>
    <w:rsid w:val="00255300"/>
    <w:rsid w:val="00264F38"/>
    <w:rsid w:val="002655E7"/>
    <w:rsid w:val="0027212C"/>
    <w:rsid w:val="00294540"/>
    <w:rsid w:val="002A17AB"/>
    <w:rsid w:val="002C0EF3"/>
    <w:rsid w:val="002C1794"/>
    <w:rsid w:val="002D6DE7"/>
    <w:rsid w:val="00303771"/>
    <w:rsid w:val="00336233"/>
    <w:rsid w:val="00346C99"/>
    <w:rsid w:val="00357CE6"/>
    <w:rsid w:val="00360894"/>
    <w:rsid w:val="003A5847"/>
    <w:rsid w:val="003B367A"/>
    <w:rsid w:val="003B4B88"/>
    <w:rsid w:val="003C431C"/>
    <w:rsid w:val="003C5176"/>
    <w:rsid w:val="003C5741"/>
    <w:rsid w:val="003D771B"/>
    <w:rsid w:val="003E6531"/>
    <w:rsid w:val="00410199"/>
    <w:rsid w:val="00412810"/>
    <w:rsid w:val="00413296"/>
    <w:rsid w:val="0041604B"/>
    <w:rsid w:val="0044569B"/>
    <w:rsid w:val="0044638F"/>
    <w:rsid w:val="00472D4F"/>
    <w:rsid w:val="00477BCC"/>
    <w:rsid w:val="00494C22"/>
    <w:rsid w:val="004C5E5F"/>
    <w:rsid w:val="004E02AF"/>
    <w:rsid w:val="004E07F8"/>
    <w:rsid w:val="004E2F99"/>
    <w:rsid w:val="004E3B9B"/>
    <w:rsid w:val="00506B5D"/>
    <w:rsid w:val="0051364F"/>
    <w:rsid w:val="00516129"/>
    <w:rsid w:val="005216FB"/>
    <w:rsid w:val="00543415"/>
    <w:rsid w:val="005608FB"/>
    <w:rsid w:val="00562A4F"/>
    <w:rsid w:val="0057683A"/>
    <w:rsid w:val="005B747B"/>
    <w:rsid w:val="005E0E18"/>
    <w:rsid w:val="005F5A3B"/>
    <w:rsid w:val="00601554"/>
    <w:rsid w:val="00615BC8"/>
    <w:rsid w:val="006249F3"/>
    <w:rsid w:val="00626F2E"/>
    <w:rsid w:val="00690F76"/>
    <w:rsid w:val="006953EF"/>
    <w:rsid w:val="006A45B1"/>
    <w:rsid w:val="006C5378"/>
    <w:rsid w:val="006E19A0"/>
    <w:rsid w:val="006F6D6B"/>
    <w:rsid w:val="00715335"/>
    <w:rsid w:val="00742ADB"/>
    <w:rsid w:val="007507E8"/>
    <w:rsid w:val="00754396"/>
    <w:rsid w:val="00761361"/>
    <w:rsid w:val="007A5F72"/>
    <w:rsid w:val="007C4BAB"/>
    <w:rsid w:val="007C5F7F"/>
    <w:rsid w:val="00804B8B"/>
    <w:rsid w:val="00871B0C"/>
    <w:rsid w:val="008B1D9D"/>
    <w:rsid w:val="008D4C14"/>
    <w:rsid w:val="008E540F"/>
    <w:rsid w:val="00910BCE"/>
    <w:rsid w:val="0094636E"/>
    <w:rsid w:val="00960E03"/>
    <w:rsid w:val="00965080"/>
    <w:rsid w:val="009A2789"/>
    <w:rsid w:val="009B04EE"/>
    <w:rsid w:val="009B45CB"/>
    <w:rsid w:val="009F1643"/>
    <w:rsid w:val="00A213C9"/>
    <w:rsid w:val="00A35D16"/>
    <w:rsid w:val="00A54819"/>
    <w:rsid w:val="00A57BBB"/>
    <w:rsid w:val="00A94A78"/>
    <w:rsid w:val="00AA6DB0"/>
    <w:rsid w:val="00AC62C4"/>
    <w:rsid w:val="00B000F5"/>
    <w:rsid w:val="00B027DA"/>
    <w:rsid w:val="00B0477D"/>
    <w:rsid w:val="00B07185"/>
    <w:rsid w:val="00B23F53"/>
    <w:rsid w:val="00B5206E"/>
    <w:rsid w:val="00B57E84"/>
    <w:rsid w:val="00B855D5"/>
    <w:rsid w:val="00BB6F19"/>
    <w:rsid w:val="00BE07EC"/>
    <w:rsid w:val="00BE098A"/>
    <w:rsid w:val="00C004C4"/>
    <w:rsid w:val="00C2409B"/>
    <w:rsid w:val="00C31CCD"/>
    <w:rsid w:val="00C51FA1"/>
    <w:rsid w:val="00C634E7"/>
    <w:rsid w:val="00C66E0B"/>
    <w:rsid w:val="00CA182B"/>
    <w:rsid w:val="00CB0A4B"/>
    <w:rsid w:val="00CC3E0F"/>
    <w:rsid w:val="00CD3845"/>
    <w:rsid w:val="00CD65DE"/>
    <w:rsid w:val="00CE0F15"/>
    <w:rsid w:val="00CF0567"/>
    <w:rsid w:val="00D00873"/>
    <w:rsid w:val="00D0517E"/>
    <w:rsid w:val="00D43746"/>
    <w:rsid w:val="00D75531"/>
    <w:rsid w:val="00D804F0"/>
    <w:rsid w:val="00D82591"/>
    <w:rsid w:val="00D848CF"/>
    <w:rsid w:val="00D9341F"/>
    <w:rsid w:val="00DA1F9C"/>
    <w:rsid w:val="00DA7FE8"/>
    <w:rsid w:val="00DC69DA"/>
    <w:rsid w:val="00DE4280"/>
    <w:rsid w:val="00DE7BDE"/>
    <w:rsid w:val="00DF43EE"/>
    <w:rsid w:val="00E055B0"/>
    <w:rsid w:val="00E254A3"/>
    <w:rsid w:val="00E41330"/>
    <w:rsid w:val="00E503C6"/>
    <w:rsid w:val="00E75361"/>
    <w:rsid w:val="00E82353"/>
    <w:rsid w:val="00EC28DF"/>
    <w:rsid w:val="00EC6465"/>
    <w:rsid w:val="00EF2AC8"/>
    <w:rsid w:val="00F21635"/>
    <w:rsid w:val="00F838D0"/>
    <w:rsid w:val="00F84D70"/>
    <w:rsid w:val="00FB7D5D"/>
    <w:rsid w:val="00FC270C"/>
    <w:rsid w:val="00FC5FF6"/>
    <w:rsid w:val="00FC7C67"/>
    <w:rsid w:val="00FD065A"/>
    <w:rsid w:val="00FE559C"/>
    <w:rsid w:val="00FF0E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07DBE4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1554"/>
    <w:pPr>
      <w:ind w:left="720"/>
      <w:contextualSpacing/>
    </w:pPr>
  </w:style>
  <w:style w:type="character" w:styleId="CommentReference">
    <w:name w:val="annotation reference"/>
    <w:basedOn w:val="DefaultParagraphFont"/>
    <w:uiPriority w:val="99"/>
    <w:semiHidden/>
    <w:unhideWhenUsed/>
    <w:rsid w:val="0022219C"/>
    <w:rPr>
      <w:sz w:val="16"/>
      <w:szCs w:val="16"/>
    </w:rPr>
  </w:style>
  <w:style w:type="paragraph" w:styleId="CommentText">
    <w:name w:val="annotation text"/>
    <w:basedOn w:val="Normal"/>
    <w:link w:val="CommentTextChar"/>
    <w:uiPriority w:val="99"/>
    <w:semiHidden/>
    <w:unhideWhenUsed/>
    <w:rsid w:val="0022219C"/>
    <w:pPr>
      <w:ind w:firstLine="720"/>
      <w:jc w:val="center"/>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22219C"/>
    <w:rPr>
      <w:rFonts w:asciiTheme="minorHAnsi" w:eastAsiaTheme="minorHAnsi" w:hAnsiTheme="minorHAnsi" w:cstheme="minorBidi"/>
      <w:sz w:val="20"/>
      <w:szCs w:val="20"/>
    </w:rPr>
  </w:style>
  <w:style w:type="paragraph" w:styleId="BalloonText">
    <w:name w:val="Balloon Text"/>
    <w:basedOn w:val="Normal"/>
    <w:link w:val="BalloonTextChar"/>
    <w:uiPriority w:val="99"/>
    <w:semiHidden/>
    <w:unhideWhenUsed/>
    <w:rsid w:val="0022219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2219C"/>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sid w:val="00E75361"/>
    <w:pPr>
      <w:ind w:firstLine="0"/>
      <w:jc w:val="left"/>
    </w:pPr>
    <w:rPr>
      <w:rFonts w:ascii="Times New Roman" w:eastAsiaTheme="minorEastAsia" w:hAnsi="Times New Roman" w:cs="Times New Roman"/>
      <w:b/>
      <w:bCs/>
    </w:rPr>
  </w:style>
  <w:style w:type="character" w:customStyle="1" w:styleId="CommentSubjectChar">
    <w:name w:val="Comment Subject Char"/>
    <w:basedOn w:val="CommentTextChar"/>
    <w:link w:val="CommentSubject"/>
    <w:uiPriority w:val="99"/>
    <w:semiHidden/>
    <w:rsid w:val="00E75361"/>
    <w:rPr>
      <w:rFonts w:asciiTheme="minorHAnsi" w:eastAsiaTheme="minorHAnsi" w:hAnsiTheme="minorHAnsi" w:cstheme="minorBidi"/>
      <w:b/>
      <w:bCs/>
      <w:sz w:val="20"/>
      <w:szCs w:val="20"/>
    </w:rPr>
  </w:style>
  <w:style w:type="character" w:styleId="Emphasis">
    <w:name w:val="Emphasis"/>
    <w:basedOn w:val="DefaultParagraphFont"/>
    <w:uiPriority w:val="20"/>
    <w:qFormat/>
    <w:rsid w:val="00294540"/>
    <w:rPr>
      <w:i/>
      <w:iCs/>
    </w:rPr>
  </w:style>
  <w:style w:type="character" w:customStyle="1" w:styleId="cosearchterm1">
    <w:name w:val="co_searchterm1"/>
    <w:basedOn w:val="DefaultParagraphFont"/>
    <w:rsid w:val="00294540"/>
    <w:rPr>
      <w:b/>
      <w:bCs/>
      <w:color w:val="252525"/>
    </w:rPr>
  </w:style>
  <w:style w:type="paragraph" w:styleId="Header">
    <w:name w:val="header"/>
    <w:basedOn w:val="Normal"/>
    <w:link w:val="HeaderChar"/>
    <w:uiPriority w:val="99"/>
    <w:unhideWhenUsed/>
    <w:rsid w:val="00FD065A"/>
    <w:pPr>
      <w:tabs>
        <w:tab w:val="center" w:pos="4680"/>
        <w:tab w:val="right" w:pos="9360"/>
      </w:tabs>
    </w:pPr>
  </w:style>
  <w:style w:type="character" w:customStyle="1" w:styleId="HeaderChar">
    <w:name w:val="Header Char"/>
    <w:basedOn w:val="DefaultParagraphFont"/>
    <w:link w:val="Header"/>
    <w:uiPriority w:val="99"/>
    <w:rsid w:val="00FD065A"/>
  </w:style>
  <w:style w:type="paragraph" w:styleId="Footer">
    <w:name w:val="footer"/>
    <w:basedOn w:val="Normal"/>
    <w:link w:val="FooterChar"/>
    <w:uiPriority w:val="99"/>
    <w:unhideWhenUsed/>
    <w:rsid w:val="00FD065A"/>
    <w:pPr>
      <w:tabs>
        <w:tab w:val="center" w:pos="4680"/>
        <w:tab w:val="right" w:pos="9360"/>
      </w:tabs>
    </w:pPr>
  </w:style>
  <w:style w:type="character" w:customStyle="1" w:styleId="FooterChar">
    <w:name w:val="Footer Char"/>
    <w:basedOn w:val="DefaultParagraphFont"/>
    <w:link w:val="Footer"/>
    <w:uiPriority w:val="99"/>
    <w:rsid w:val="00FD065A"/>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1554"/>
    <w:pPr>
      <w:ind w:left="720"/>
      <w:contextualSpacing/>
    </w:pPr>
  </w:style>
  <w:style w:type="character" w:styleId="CommentReference">
    <w:name w:val="annotation reference"/>
    <w:basedOn w:val="DefaultParagraphFont"/>
    <w:uiPriority w:val="99"/>
    <w:semiHidden/>
    <w:unhideWhenUsed/>
    <w:rsid w:val="0022219C"/>
    <w:rPr>
      <w:sz w:val="16"/>
      <w:szCs w:val="16"/>
    </w:rPr>
  </w:style>
  <w:style w:type="paragraph" w:styleId="CommentText">
    <w:name w:val="annotation text"/>
    <w:basedOn w:val="Normal"/>
    <w:link w:val="CommentTextChar"/>
    <w:uiPriority w:val="99"/>
    <w:semiHidden/>
    <w:unhideWhenUsed/>
    <w:rsid w:val="0022219C"/>
    <w:pPr>
      <w:ind w:firstLine="720"/>
      <w:jc w:val="center"/>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22219C"/>
    <w:rPr>
      <w:rFonts w:asciiTheme="minorHAnsi" w:eastAsiaTheme="minorHAnsi" w:hAnsiTheme="minorHAnsi" w:cstheme="minorBidi"/>
      <w:sz w:val="20"/>
      <w:szCs w:val="20"/>
    </w:rPr>
  </w:style>
  <w:style w:type="paragraph" w:styleId="BalloonText">
    <w:name w:val="Balloon Text"/>
    <w:basedOn w:val="Normal"/>
    <w:link w:val="BalloonTextChar"/>
    <w:uiPriority w:val="99"/>
    <w:semiHidden/>
    <w:unhideWhenUsed/>
    <w:rsid w:val="0022219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2219C"/>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sid w:val="00E75361"/>
    <w:pPr>
      <w:ind w:firstLine="0"/>
      <w:jc w:val="left"/>
    </w:pPr>
    <w:rPr>
      <w:rFonts w:ascii="Times New Roman" w:eastAsiaTheme="minorEastAsia" w:hAnsi="Times New Roman" w:cs="Times New Roman"/>
      <w:b/>
      <w:bCs/>
    </w:rPr>
  </w:style>
  <w:style w:type="character" w:customStyle="1" w:styleId="CommentSubjectChar">
    <w:name w:val="Comment Subject Char"/>
    <w:basedOn w:val="CommentTextChar"/>
    <w:link w:val="CommentSubject"/>
    <w:uiPriority w:val="99"/>
    <w:semiHidden/>
    <w:rsid w:val="00E75361"/>
    <w:rPr>
      <w:rFonts w:asciiTheme="minorHAnsi" w:eastAsiaTheme="minorHAnsi" w:hAnsiTheme="minorHAnsi" w:cstheme="minorBidi"/>
      <w:b/>
      <w:bCs/>
      <w:sz w:val="20"/>
      <w:szCs w:val="20"/>
    </w:rPr>
  </w:style>
  <w:style w:type="character" w:styleId="Emphasis">
    <w:name w:val="Emphasis"/>
    <w:basedOn w:val="DefaultParagraphFont"/>
    <w:uiPriority w:val="20"/>
    <w:qFormat/>
    <w:rsid w:val="00294540"/>
    <w:rPr>
      <w:i/>
      <w:iCs/>
    </w:rPr>
  </w:style>
  <w:style w:type="character" w:customStyle="1" w:styleId="cosearchterm1">
    <w:name w:val="co_searchterm1"/>
    <w:basedOn w:val="DefaultParagraphFont"/>
    <w:rsid w:val="00294540"/>
    <w:rPr>
      <w:b/>
      <w:bCs/>
      <w:color w:val="252525"/>
    </w:rPr>
  </w:style>
  <w:style w:type="paragraph" w:styleId="Header">
    <w:name w:val="header"/>
    <w:basedOn w:val="Normal"/>
    <w:link w:val="HeaderChar"/>
    <w:uiPriority w:val="99"/>
    <w:unhideWhenUsed/>
    <w:rsid w:val="00FD065A"/>
    <w:pPr>
      <w:tabs>
        <w:tab w:val="center" w:pos="4680"/>
        <w:tab w:val="right" w:pos="9360"/>
      </w:tabs>
    </w:pPr>
  </w:style>
  <w:style w:type="character" w:customStyle="1" w:styleId="HeaderChar">
    <w:name w:val="Header Char"/>
    <w:basedOn w:val="DefaultParagraphFont"/>
    <w:link w:val="Header"/>
    <w:uiPriority w:val="99"/>
    <w:rsid w:val="00FD065A"/>
  </w:style>
  <w:style w:type="paragraph" w:styleId="Footer">
    <w:name w:val="footer"/>
    <w:basedOn w:val="Normal"/>
    <w:link w:val="FooterChar"/>
    <w:uiPriority w:val="99"/>
    <w:unhideWhenUsed/>
    <w:rsid w:val="00FD065A"/>
    <w:pPr>
      <w:tabs>
        <w:tab w:val="center" w:pos="4680"/>
        <w:tab w:val="right" w:pos="9360"/>
      </w:tabs>
    </w:pPr>
  </w:style>
  <w:style w:type="character" w:customStyle="1" w:styleId="FooterChar">
    <w:name w:val="Footer Char"/>
    <w:basedOn w:val="DefaultParagraphFont"/>
    <w:link w:val="Footer"/>
    <w:uiPriority w:val="99"/>
    <w:rsid w:val="00FD06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s://1.next.westlaw.com/Link/Document/FullText?findType=Y&amp;serNum=2001518734&amp;pubNum=708&amp;originationContext=document&amp;transitionType=DocumentItem&amp;contextData=(sc.Keycite)" TargetMode="External"/><Relationship Id="rId10" Type="http://schemas.openxmlformats.org/officeDocument/2006/relationships/hyperlink" Target="https://1.next.westlaw.com/Link/Document/FullText?findType=L&amp;pubNum=1000546&amp;cite=17USCAS106&amp;originatingDoc=N642B61F0A06711D8B8FABFF7D35FC9C0&amp;refType=LQ&amp;originationContext=document&amp;transitionType=DocumentItem&amp;contextData=(sc.Catego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18A72-1073-B24D-97DF-DD4D4E092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3466</Words>
  <Characters>17298</Characters>
  <Application>Microsoft Macintosh Word</Application>
  <DocSecurity>0</DocSecurity>
  <Lines>288</Lines>
  <Paragraphs>85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20679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2012-04-30T12:13:00Z</dcterms:created>
  <dcterms:modified xsi:type="dcterms:W3CDTF">2012-06-02T14:12:00Z</dcterms:modified>
  <cp:category/>
</cp:coreProperties>
</file>